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1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120家上市建筑企业2016年经营数据出炉</w:t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tcMar>
              <w:top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近期，上市公司年报集中发布，截至2017年4月29日，120家上市建筑企业均发布了2016年的经营业绩数据。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从公布的数据来看，有几大要点：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1、整体业绩较好的四大版块是：市政公用、路桥隧道，水利水电，钢结构，园林；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2、营业收入和净利润增长率最高的版块公司是园林企业；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3、2016年净利润超10亿的新晋企业：东方园林，净利润高达13亿元，同比增长115%；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4、央企、国企、民营企业的总体经营情况是：央企好于国企，国企好于民企。央企普遍受益于PPP项目、经营状况良好，而民营企业的发展仍然较为艰难。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4"/>
                <w:rFonts w:ascii="新宋体" w:hAnsi="新宋体" w:eastAsia="新宋体" w:cs="新宋体"/>
                <w:color w:val="DD5526"/>
                <w:sz w:val="21"/>
                <w:szCs w:val="21"/>
                <w:bdr w:val="none" w:color="auto" w:sz="0" w:space="0"/>
                <w:shd w:val="clear" w:fill="FFFFFF"/>
              </w:rPr>
              <w:t>5月，建筑前沿会陆续推送上市公司年度发展研究报告，敬请关注！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drawing>
                <wp:inline distT="0" distB="0" distL="114300" distR="114300">
                  <wp:extent cx="4267200" cy="780097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780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drawing>
                <wp:inline distT="0" distB="0" distL="114300" distR="114300">
                  <wp:extent cx="4267200" cy="14735175"/>
                  <wp:effectExtent l="0" t="0" r="0" b="952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473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drawing>
                <wp:inline distT="0" distB="0" distL="114300" distR="114300">
                  <wp:extent cx="4267200" cy="8296275"/>
                  <wp:effectExtent l="0" t="0" r="0" b="9525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829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sz w:val="21"/>
                <w:szCs w:val="21"/>
                <w:bdr w:val="none" w:color="auto" w:sz="0" w:space="0"/>
                <w:shd w:val="clear" w:fill="FFFFFF"/>
              </w:rPr>
              <w:t>数据来源：各上市公司公告，建筑前沿与攀成德研究部整理。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8C"/>
    <w:rsid w:val="00F037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2018-10-10T01:59:00Z</dcterms:created>
  <dc:creator>骑士的天空</dc:creator>
  <cp:lastModifiedBy>骑士的天空</cp:lastModifiedBy>
  <dcterms:modified xsi:type="dcterms:W3CDTF">2018-10-10T01:59:41Z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