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EEEEEE" w:sz="6" w:space="11"/>
          <w:right w:val="none" w:color="auto" w:sz="0" w:space="0"/>
        </w:pBdr>
        <w:shd w:val="clear" w:fill="FFFFFF"/>
        <w:spacing w:before="0" w:beforeAutospacing="0" w:after="0" w:afterAutospacing="0" w:line="450" w:lineRule="atLeast"/>
        <w:ind w:left="0" w:right="0" w:firstLine="0"/>
        <w:jc w:val="center"/>
        <w:rPr>
          <w:rFonts w:ascii="微软雅黑" w:hAnsi="微软雅黑" w:eastAsia="微软雅黑" w:cs="微软雅黑"/>
          <w:i w:val="0"/>
          <w:caps w:val="0"/>
          <w:color w:val="333333"/>
          <w:spacing w:val="0"/>
          <w:sz w:val="36"/>
          <w:szCs w:val="36"/>
        </w:rPr>
      </w:pPr>
      <w:r>
        <w:rPr>
          <w:rFonts w:hint="eastAsia" w:ascii="微软雅黑" w:hAnsi="微软雅黑" w:eastAsia="微软雅黑" w:cs="微软雅黑"/>
          <w:i w:val="0"/>
          <w:caps w:val="0"/>
          <w:color w:val="333333"/>
          <w:spacing w:val="0"/>
          <w:sz w:val="36"/>
          <w:szCs w:val="36"/>
          <w:bdr w:val="none" w:color="auto" w:sz="0" w:space="0"/>
          <w:shd w:val="clear" w:fill="FFFFFF"/>
        </w:rPr>
        <w:t>2017年中国装配式建筑行业总产值概述及未来前景趋势分析预测（图）</w:t>
      </w:r>
    </w:p>
    <w:tbl>
      <w:tblPr>
        <w:tblW w:w="8306" w:type="dxa"/>
        <w:jc w:val="center"/>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PrEx>
        <w:trPr>
          <w:tblCellSpacing w:w="0" w:type="dxa"/>
          <w:jc w:val="center"/>
        </w:trPr>
        <w:tc>
          <w:tcPr>
            <w:tcW w:w="8306" w:type="dxa"/>
            <w:shd w:val="clear"/>
            <w:tcMar>
              <w:top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rPr>
                <w:rFonts w:hint="eastAsia" w:ascii="宋体" w:hAnsi="宋体" w:eastAsia="宋体" w:cs="宋体"/>
                <w:color w:val="252525"/>
                <w:sz w:val="24"/>
                <w:szCs w:val="24"/>
              </w:rPr>
            </w:pPr>
            <w:r>
              <w:rPr>
                <w:rFonts w:ascii="新宋体" w:hAnsi="新宋体" w:eastAsia="新宋体" w:cs="新宋体"/>
                <w:color w:val="252525"/>
                <w:sz w:val="21"/>
                <w:szCs w:val="21"/>
                <w:bdr w:val="none" w:color="auto" w:sz="0" w:space="0"/>
              </w:rPr>
              <w:t>   国务院印发的《关于进一步加强城市规划建设管理工作的若干意见》提到，发展新型建造方式，大力推广装配式建筑，力争用10年左右时间，使装配式建筑占新建建筑的比例达到30%；积极稳妥推广钢结构建筑。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rPr>
                <w:rFonts w:hint="eastAsia" w:ascii="宋体" w:hAnsi="宋体" w:eastAsia="宋体" w:cs="宋体"/>
                <w:color w:val="252525"/>
                <w:sz w:val="24"/>
                <w:szCs w:val="24"/>
              </w:rPr>
            </w:pPr>
            <w:r>
              <w:rPr>
                <w:rFonts w:ascii="新宋体" w:hAnsi="新宋体" w:eastAsia="新宋体" w:cs="新宋体"/>
                <w:color w:val="252525"/>
                <w:sz w:val="21"/>
                <w:szCs w:val="21"/>
                <w:bdr w:val="none" w:color="auto" w:sz="0" w:space="0"/>
              </w:rPr>
              <w:t>   2015年我国装配式建筑面积约4400万平方米，装配式建筑规模约858亿元，相关配套产业产值规模约429亿元（装配化建筑的延伸产业如清洁能源、一体化装饰、智能家居等），得出我国装配式建筑行业总产值约1287亿元。2016年我国装配式建筑面积约1亿平方米，装配式建筑行业总产值达到了5055亿元。近几年我国装配式建筑行业总产值如下图所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宋体" w:hAnsi="宋体" w:eastAsia="宋体" w:cs="宋体"/>
                <w:color w:val="252525"/>
                <w:sz w:val="24"/>
                <w:szCs w:val="24"/>
              </w:rPr>
            </w:pPr>
            <w:r>
              <w:rPr>
                <w:rFonts w:ascii="新宋体" w:hAnsi="新宋体" w:eastAsia="新宋体" w:cs="新宋体"/>
                <w:color w:val="252525"/>
                <w:sz w:val="21"/>
                <w:szCs w:val="21"/>
                <w:bdr w:val="none" w:color="auto" w:sz="0" w:space="0"/>
              </w:rPr>
              <w:t>2011-2016年中国装配式建筑行业总产值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宋体" w:hAnsi="宋体" w:eastAsia="宋体" w:cs="宋体"/>
                <w:color w:val="252525"/>
                <w:sz w:val="24"/>
                <w:szCs w:val="24"/>
              </w:rPr>
            </w:pPr>
            <w:r>
              <w:rPr>
                <w:rFonts w:hint="eastAsia" w:ascii="宋体" w:hAnsi="宋体" w:eastAsia="宋体" w:cs="宋体"/>
                <w:color w:val="252525"/>
                <w:sz w:val="24"/>
                <w:szCs w:val="24"/>
                <w:bdr w:val="none" w:color="auto" w:sz="0" w:space="0"/>
              </w:rPr>
              <w:drawing>
                <wp:inline distT="0" distB="0" distL="114300" distR="114300">
                  <wp:extent cx="5086350" cy="32575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086350" cy="32575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right"/>
              <w:rPr>
                <w:rFonts w:hint="eastAsia" w:ascii="宋体" w:hAnsi="宋体" w:eastAsia="宋体" w:cs="宋体"/>
                <w:color w:val="252525"/>
                <w:sz w:val="24"/>
                <w:szCs w:val="24"/>
              </w:rPr>
            </w:pPr>
            <w:r>
              <w:rPr>
                <w:rFonts w:ascii="新宋体" w:hAnsi="新宋体" w:eastAsia="新宋体" w:cs="新宋体"/>
                <w:color w:val="252525"/>
                <w:sz w:val="21"/>
                <w:szCs w:val="21"/>
                <w:bdr w:val="none" w:color="auto" w:sz="0" w:space="0"/>
              </w:rPr>
              <w:t>资料来源：公开资料整理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rPr>
                <w:rFonts w:hint="eastAsia" w:ascii="宋体" w:hAnsi="宋体" w:eastAsia="宋体" w:cs="宋体"/>
                <w:color w:val="252525"/>
                <w:sz w:val="24"/>
                <w:szCs w:val="24"/>
              </w:rPr>
            </w:pPr>
            <w:r>
              <w:rPr>
                <w:rFonts w:ascii="新宋体" w:hAnsi="新宋体" w:eastAsia="新宋体" w:cs="新宋体"/>
                <w:color w:val="252525"/>
                <w:sz w:val="21"/>
                <w:szCs w:val="21"/>
                <w:bdr w:val="none" w:color="auto" w:sz="0" w:space="0"/>
              </w:rPr>
              <w:t>   装配式建筑是用预制部品部件在工地装配而成的建筑，发展装配式建筑是建造方式的重大变革。党中央、国务院高度重视装配式建筑的发展，《中共中央国务院关于进一步加强城市规划建设管理工作的若干意见》提出，要发展新型建造方式，大力推广装配式建筑，力争用10年左右时间，使装配式建筑占新建建筑面积的比例达到30%。2016年9月27日，国务院办公厅印发了《关于大力发展装配式建筑的指导意见》，提出以京津冀、长三角、珠三角三大城市群为重点推进地区，常住人口超过300万的其他城市为积极推进地区，其余城市为鼓励推进地区，因地制宜发展装配式混凝土结构、钢结构和现代木结构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rPr>
                <w:rFonts w:hint="eastAsia" w:ascii="宋体" w:hAnsi="宋体" w:eastAsia="宋体" w:cs="宋体"/>
                <w:color w:val="252525"/>
                <w:sz w:val="24"/>
                <w:szCs w:val="24"/>
              </w:rPr>
            </w:pPr>
            <w:r>
              <w:rPr>
                <w:rFonts w:ascii="新宋体" w:hAnsi="新宋体" w:eastAsia="新宋体" w:cs="新宋体"/>
                <w:color w:val="252525"/>
                <w:sz w:val="21"/>
                <w:szCs w:val="21"/>
                <w:bdr w:val="none" w:color="auto" w:sz="0" w:space="0"/>
              </w:rPr>
              <w:t>   各地积极落实党中央、国务院决策部署，大力推动装配式建筑发展。北京、浙江提出到2020年，提前实现装配式建筑占新建建筑比例30%的目标；河北明确提出把钢结构建筑作为发展装配式建筑的主攻方向；吉林提出了创造条件，试点发展木结构建筑产业化的工作思路；山东省实施“四个强制”政策，积极发展装配式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rPr>
                <w:rFonts w:hint="eastAsia" w:ascii="宋体" w:hAnsi="宋体" w:eastAsia="宋体" w:cs="宋体"/>
                <w:color w:val="252525"/>
                <w:sz w:val="24"/>
                <w:szCs w:val="24"/>
              </w:rPr>
            </w:pPr>
            <w:r>
              <w:rPr>
                <w:rFonts w:ascii="新宋体" w:hAnsi="新宋体" w:eastAsia="新宋体" w:cs="新宋体"/>
                <w:color w:val="252525"/>
                <w:sz w:val="21"/>
                <w:szCs w:val="21"/>
                <w:bdr w:val="none" w:color="auto" w:sz="0" w:space="0"/>
              </w:rPr>
              <w:t>   据统计，截至2016年底，全国已有30多个省市出台了装配式建筑专门指导意见和相关配套措施，部分省市已经出台政策、资金扶持措施并提出了量化目标。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rPr>
                <w:rFonts w:hint="eastAsia" w:ascii="宋体" w:hAnsi="宋体" w:eastAsia="宋体" w:cs="宋体"/>
                <w:color w:val="252525"/>
                <w:sz w:val="24"/>
                <w:szCs w:val="24"/>
              </w:rPr>
            </w:pPr>
            <w:r>
              <w:rPr>
                <w:rFonts w:ascii="新宋体" w:hAnsi="新宋体" w:eastAsia="新宋体" w:cs="新宋体"/>
                <w:color w:val="252525"/>
                <w:sz w:val="21"/>
                <w:szCs w:val="21"/>
                <w:bdr w:val="none" w:color="auto" w:sz="0" w:space="0"/>
              </w:rPr>
              <w:t>   上海市聚焦体制机制建设，充分发挥市场在资源配置中的主导作用，装配式建筑各项工作取得了积极进展。市政府发布了推进装配式建筑发展的实施意见，出台了一系列政策措施，提出在上海全市范围内符合条件的新建建筑原则上全部采用装配式建筑。2016年上海市已落实装配式建筑1385万平方米，连续两年实现翻番，预制构件生产企业达到41家，产能突破1200万平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rPr>
                <w:rFonts w:hint="eastAsia" w:ascii="宋体" w:hAnsi="宋体" w:eastAsia="宋体" w:cs="宋体"/>
                <w:color w:val="252525"/>
                <w:sz w:val="24"/>
                <w:szCs w:val="24"/>
              </w:rPr>
            </w:pPr>
            <w:r>
              <w:rPr>
                <w:rFonts w:ascii="新宋体" w:hAnsi="新宋体" w:eastAsia="新宋体" w:cs="新宋体"/>
                <w:color w:val="252525"/>
                <w:sz w:val="21"/>
                <w:szCs w:val="21"/>
                <w:bdr w:val="none" w:color="auto" w:sz="0" w:space="0"/>
              </w:rPr>
              <w:t>   2016年底，湖南省已有装配式建筑国家级示范基地6家、装配式建筑建成住宅产业化生产基地15个，年产能达2159万平方米，累计实施装配式建筑项目1750万平方米。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rPr>
                <w:rFonts w:hint="eastAsia" w:ascii="宋体" w:hAnsi="宋体" w:eastAsia="宋体" w:cs="宋体"/>
                <w:color w:val="252525"/>
                <w:sz w:val="24"/>
                <w:szCs w:val="24"/>
              </w:rPr>
            </w:pPr>
            <w:r>
              <w:rPr>
                <w:rFonts w:ascii="新宋体" w:hAnsi="新宋体" w:eastAsia="新宋体" w:cs="新宋体"/>
                <w:color w:val="252525"/>
                <w:sz w:val="21"/>
                <w:szCs w:val="21"/>
                <w:bdr w:val="none" w:color="auto" w:sz="0" w:space="0"/>
              </w:rPr>
              <w:t>   近年来，宁波市在发展装配式建筑方面取得了明显成效。统计显示，自2013年首个装配式项目——宁波万科城4期3号楼开工以来，经过培育成长和政策扶持，2016年宁波市新开工装配式建筑面积达365万平方米，其中住宅和公建项目118万平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宋体" w:hAnsi="宋体" w:eastAsia="宋体" w:cs="宋体"/>
                <w:color w:val="252525"/>
                <w:sz w:val="24"/>
                <w:szCs w:val="24"/>
              </w:rPr>
            </w:pPr>
            <w:r>
              <w:rPr>
                <w:rFonts w:ascii="新宋体" w:hAnsi="新宋体" w:eastAsia="新宋体" w:cs="新宋体"/>
                <w:color w:val="252525"/>
                <w:sz w:val="21"/>
                <w:szCs w:val="21"/>
                <w:bdr w:val="none" w:color="auto" w:sz="0" w:space="0"/>
              </w:rPr>
              <w:t>2016年中国部分省市装配式建筑行业完成面积</w:t>
            </w:r>
          </w:p>
          <w:tbl>
            <w:tblPr>
              <w:tblW w:w="8290"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758"/>
              <w:gridCol w:w="65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17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color w:val="252525"/>
                      <w:sz w:val="24"/>
                      <w:szCs w:val="24"/>
                    </w:rPr>
                  </w:pPr>
                  <w:r>
                    <w:rPr>
                      <w:rFonts w:ascii="新宋体" w:hAnsi="新宋体" w:eastAsia="新宋体" w:cs="新宋体"/>
                      <w:color w:val="252525"/>
                      <w:kern w:val="0"/>
                      <w:sz w:val="21"/>
                      <w:szCs w:val="21"/>
                      <w:bdr w:val="none" w:color="auto" w:sz="0" w:space="0"/>
                      <w:lang w:val="en-US" w:eastAsia="zh-CN" w:bidi="ar"/>
                    </w:rPr>
                    <w:t>省市</w:t>
                  </w:r>
                </w:p>
              </w:tc>
              <w:tc>
                <w:tcPr>
                  <w:tcW w:w="653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color w:val="252525"/>
                      <w:sz w:val="24"/>
                      <w:szCs w:val="24"/>
                    </w:rPr>
                  </w:pPr>
                  <w:r>
                    <w:rPr>
                      <w:rFonts w:ascii="新宋体" w:hAnsi="新宋体" w:eastAsia="新宋体" w:cs="新宋体"/>
                      <w:color w:val="252525"/>
                      <w:kern w:val="0"/>
                      <w:sz w:val="21"/>
                      <w:szCs w:val="21"/>
                      <w:bdr w:val="none" w:color="auto" w:sz="0" w:space="0"/>
                      <w:lang w:val="en-US" w:eastAsia="zh-CN" w:bidi="ar"/>
                    </w:rPr>
                    <w:t>累计装配式建筑面积（万平方米）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7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color w:val="252525"/>
                      <w:sz w:val="24"/>
                      <w:szCs w:val="24"/>
                    </w:rPr>
                  </w:pPr>
                  <w:r>
                    <w:rPr>
                      <w:rFonts w:ascii="新宋体" w:hAnsi="新宋体" w:eastAsia="新宋体" w:cs="新宋体"/>
                      <w:color w:val="252525"/>
                      <w:kern w:val="0"/>
                      <w:sz w:val="21"/>
                      <w:szCs w:val="21"/>
                      <w:bdr w:val="none" w:color="auto" w:sz="0" w:space="0"/>
                      <w:lang w:val="en-US" w:eastAsia="zh-CN" w:bidi="ar"/>
                    </w:rPr>
                    <w:t>湖南省</w:t>
                  </w:r>
                </w:p>
              </w:tc>
              <w:tc>
                <w:tcPr>
                  <w:tcW w:w="653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color w:val="252525"/>
                      <w:sz w:val="24"/>
                      <w:szCs w:val="24"/>
                    </w:rPr>
                  </w:pPr>
                  <w:r>
                    <w:rPr>
                      <w:rFonts w:ascii="新宋体" w:hAnsi="新宋体" w:eastAsia="新宋体" w:cs="新宋体"/>
                      <w:color w:val="252525"/>
                      <w:kern w:val="0"/>
                      <w:sz w:val="21"/>
                      <w:szCs w:val="21"/>
                      <w:bdr w:val="none" w:color="auto" w:sz="0" w:space="0"/>
                      <w:lang w:val="en-US" w:eastAsia="zh-CN" w:bidi="ar"/>
                    </w:rPr>
                    <w:t>1750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0" w:type="dxa"/>
              </w:trPr>
              <w:tc>
                <w:tcPr>
                  <w:tcW w:w="17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color w:val="252525"/>
                      <w:sz w:val="24"/>
                      <w:szCs w:val="24"/>
                    </w:rPr>
                  </w:pPr>
                  <w:r>
                    <w:rPr>
                      <w:rFonts w:ascii="新宋体" w:hAnsi="新宋体" w:eastAsia="新宋体" w:cs="新宋体"/>
                      <w:color w:val="252525"/>
                      <w:kern w:val="0"/>
                      <w:sz w:val="21"/>
                      <w:szCs w:val="21"/>
                      <w:bdr w:val="none" w:color="auto" w:sz="0" w:space="0"/>
                      <w:lang w:val="en-US" w:eastAsia="zh-CN" w:bidi="ar"/>
                    </w:rPr>
                    <w:t>上海</w:t>
                  </w:r>
                </w:p>
              </w:tc>
              <w:tc>
                <w:tcPr>
                  <w:tcW w:w="653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color w:val="252525"/>
                      <w:sz w:val="24"/>
                      <w:szCs w:val="24"/>
                    </w:rPr>
                  </w:pPr>
                  <w:r>
                    <w:rPr>
                      <w:rFonts w:ascii="新宋体" w:hAnsi="新宋体" w:eastAsia="新宋体" w:cs="新宋体"/>
                      <w:color w:val="252525"/>
                      <w:kern w:val="0"/>
                      <w:sz w:val="21"/>
                      <w:szCs w:val="21"/>
                      <w:bdr w:val="none" w:color="auto" w:sz="0" w:space="0"/>
                      <w:lang w:val="en-US" w:eastAsia="zh-CN" w:bidi="ar"/>
                    </w:rPr>
                    <w:t>1620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7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color w:val="252525"/>
                      <w:sz w:val="24"/>
                      <w:szCs w:val="24"/>
                    </w:rPr>
                  </w:pPr>
                  <w:r>
                    <w:rPr>
                      <w:rFonts w:ascii="新宋体" w:hAnsi="新宋体" w:eastAsia="新宋体" w:cs="新宋体"/>
                      <w:color w:val="252525"/>
                      <w:kern w:val="0"/>
                      <w:sz w:val="21"/>
                      <w:szCs w:val="21"/>
                      <w:bdr w:val="none" w:color="auto" w:sz="0" w:space="0"/>
                      <w:lang w:val="en-US" w:eastAsia="zh-CN" w:bidi="ar"/>
                    </w:rPr>
                    <w:t>北京</w:t>
                  </w:r>
                </w:p>
              </w:tc>
              <w:tc>
                <w:tcPr>
                  <w:tcW w:w="653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color w:val="252525"/>
                      <w:sz w:val="24"/>
                      <w:szCs w:val="24"/>
                    </w:rPr>
                  </w:pPr>
                  <w:r>
                    <w:rPr>
                      <w:rFonts w:ascii="新宋体" w:hAnsi="新宋体" w:eastAsia="新宋体" w:cs="新宋体"/>
                      <w:color w:val="252525"/>
                      <w:kern w:val="0"/>
                      <w:sz w:val="21"/>
                      <w:szCs w:val="21"/>
                      <w:bdr w:val="none" w:color="auto" w:sz="0" w:space="0"/>
                      <w:lang w:val="en-US" w:eastAsia="zh-CN" w:bidi="ar"/>
                    </w:rPr>
                    <w:t>1800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7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color w:val="252525"/>
                      <w:sz w:val="24"/>
                      <w:szCs w:val="24"/>
                    </w:rPr>
                  </w:pPr>
                  <w:r>
                    <w:rPr>
                      <w:rFonts w:ascii="新宋体" w:hAnsi="新宋体" w:eastAsia="新宋体" w:cs="新宋体"/>
                      <w:color w:val="252525"/>
                      <w:kern w:val="0"/>
                      <w:sz w:val="21"/>
                      <w:szCs w:val="21"/>
                      <w:bdr w:val="none" w:color="auto" w:sz="0" w:space="0"/>
                      <w:lang w:val="en-US" w:eastAsia="zh-CN" w:bidi="ar"/>
                    </w:rPr>
                    <w:t>安徽省</w:t>
                  </w:r>
                </w:p>
              </w:tc>
              <w:tc>
                <w:tcPr>
                  <w:tcW w:w="653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color w:val="252525"/>
                      <w:sz w:val="24"/>
                      <w:szCs w:val="24"/>
                    </w:rPr>
                  </w:pPr>
                  <w:r>
                    <w:rPr>
                      <w:rFonts w:ascii="新宋体" w:hAnsi="新宋体" w:eastAsia="新宋体" w:cs="新宋体"/>
                      <w:color w:val="252525"/>
                      <w:kern w:val="0"/>
                      <w:sz w:val="21"/>
                      <w:szCs w:val="21"/>
                      <w:bdr w:val="none" w:color="auto" w:sz="0" w:space="0"/>
                      <w:lang w:val="en-US" w:eastAsia="zh-CN" w:bidi="ar"/>
                    </w:rPr>
                    <w:t>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7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color w:val="252525"/>
                      <w:sz w:val="24"/>
                      <w:szCs w:val="24"/>
                    </w:rPr>
                  </w:pPr>
                  <w:r>
                    <w:rPr>
                      <w:rFonts w:ascii="新宋体" w:hAnsi="新宋体" w:eastAsia="新宋体" w:cs="新宋体"/>
                      <w:color w:val="252525"/>
                      <w:kern w:val="0"/>
                      <w:sz w:val="21"/>
                      <w:szCs w:val="21"/>
                      <w:bdr w:val="none" w:color="auto" w:sz="0" w:space="0"/>
                      <w:lang w:val="en-US" w:eastAsia="zh-CN" w:bidi="ar"/>
                    </w:rPr>
                    <w:t>湖北省</w:t>
                  </w:r>
                </w:p>
              </w:tc>
              <w:tc>
                <w:tcPr>
                  <w:tcW w:w="653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color w:val="252525"/>
                      <w:sz w:val="24"/>
                      <w:szCs w:val="24"/>
                    </w:rPr>
                  </w:pPr>
                  <w:r>
                    <w:rPr>
                      <w:rFonts w:ascii="新宋体" w:hAnsi="新宋体" w:eastAsia="新宋体" w:cs="新宋体"/>
                      <w:color w:val="252525"/>
                      <w:kern w:val="0"/>
                      <w:sz w:val="21"/>
                      <w:szCs w:val="21"/>
                      <w:bdr w:val="none" w:color="auto" w:sz="0" w:space="0"/>
                      <w:lang w:val="en-US" w:eastAsia="zh-CN" w:bidi="ar"/>
                    </w:rPr>
                    <w:t>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7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color w:val="252525"/>
                      <w:sz w:val="24"/>
                      <w:szCs w:val="24"/>
                    </w:rPr>
                  </w:pPr>
                  <w:r>
                    <w:rPr>
                      <w:rFonts w:ascii="新宋体" w:hAnsi="新宋体" w:eastAsia="新宋体" w:cs="新宋体"/>
                      <w:color w:val="252525"/>
                      <w:kern w:val="0"/>
                      <w:sz w:val="21"/>
                      <w:szCs w:val="21"/>
                      <w:bdr w:val="none" w:color="auto" w:sz="0" w:space="0"/>
                      <w:lang w:val="en-US" w:eastAsia="zh-CN" w:bidi="ar"/>
                    </w:rPr>
                    <w:t>海南省</w:t>
                  </w:r>
                </w:p>
              </w:tc>
              <w:tc>
                <w:tcPr>
                  <w:tcW w:w="653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color w:val="252525"/>
                      <w:sz w:val="24"/>
                      <w:szCs w:val="24"/>
                    </w:rPr>
                  </w:pPr>
                  <w:r>
                    <w:rPr>
                      <w:rFonts w:ascii="新宋体" w:hAnsi="新宋体" w:eastAsia="新宋体" w:cs="新宋体"/>
                      <w:color w:val="252525"/>
                      <w:kern w:val="0"/>
                      <w:sz w:val="21"/>
                      <w:szCs w:val="21"/>
                      <w:bdr w:val="none" w:color="auto" w:sz="0" w:space="0"/>
                      <w:lang w:val="en-US" w:eastAsia="zh-CN" w:bidi="ar"/>
                    </w:rPr>
                    <w:t>57</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right"/>
              <w:rPr>
                <w:rFonts w:hint="eastAsia" w:ascii="宋体" w:hAnsi="宋体" w:eastAsia="宋体" w:cs="宋体"/>
                <w:color w:val="252525"/>
                <w:sz w:val="24"/>
                <w:szCs w:val="24"/>
              </w:rPr>
            </w:pPr>
            <w:r>
              <w:rPr>
                <w:rFonts w:ascii="新宋体" w:hAnsi="新宋体" w:eastAsia="新宋体" w:cs="新宋体"/>
                <w:color w:val="252525"/>
                <w:sz w:val="21"/>
                <w:szCs w:val="21"/>
                <w:bdr w:val="none" w:color="auto" w:sz="0" w:space="0"/>
              </w:rPr>
              <w:t>资料来源：公开资料整理</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376D4"/>
    <w:rsid w:val="389376D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2018-10-10T01:57:00Z</dcterms:created>
  <dc:creator>骑士的天空</dc:creator>
  <cp:lastModifiedBy>骑士的天空</cp:lastModifiedBy>
  <dcterms:modified xsi:type="dcterms:W3CDTF">2018-10-10T01:58:00Z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