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single" w:color="EEEEEE" w:sz="6" w:space="11"/>
          <w:right w:val="none" w:color="auto" w:sz="0" w:space="0"/>
        </w:pBdr>
        <w:shd w:val="clear" w:fill="FFFFFF"/>
        <w:spacing w:before="0" w:beforeAutospacing="0" w:after="0" w:afterAutospacing="0" w:line="450" w:lineRule="atLeast"/>
        <w:ind w:left="0" w:right="0" w:firstLine="0"/>
        <w:jc w:val="center"/>
        <w:rPr>
          <w:rFonts w:ascii="微软雅黑" w:hAnsi="微软雅黑" w:eastAsia="微软雅黑" w:cs="微软雅黑"/>
          <w:i w:val="0"/>
          <w:caps w:val="0"/>
          <w:color w:val="333333"/>
          <w:spacing w:val="0"/>
          <w:sz w:val="36"/>
          <w:szCs w:val="36"/>
        </w:rPr>
      </w:pPr>
      <w:bookmarkStart w:id="0" w:name="_GoBack"/>
      <w:r>
        <w:rPr>
          <w:rFonts w:hint="eastAsia" w:ascii="微软雅黑" w:hAnsi="微软雅黑" w:eastAsia="微软雅黑" w:cs="微软雅黑"/>
          <w:i w:val="0"/>
          <w:caps w:val="0"/>
          <w:color w:val="333333"/>
          <w:spacing w:val="0"/>
          <w:sz w:val="36"/>
          <w:szCs w:val="36"/>
          <w:bdr w:val="none" w:color="auto" w:sz="0" w:space="0"/>
          <w:shd w:val="clear" w:fill="FFFFFF"/>
        </w:rPr>
        <w:t>2018年全国装配式建筑市场研究报告</w:t>
      </w:r>
    </w:p>
    <w:bookmarkEnd w:id="0"/>
    <w:tbl>
      <w:tblPr>
        <w:tblW w:w="8306" w:type="dxa"/>
        <w:jc w:val="center"/>
        <w:tblCellSpacing w:w="0" w:type="dxa"/>
        <w:tblInd w:w="0" w:type="dxa"/>
        <w:shd w:val="clear"/>
        <w:tblLayout w:type="fixed"/>
        <w:tblCellMar>
          <w:top w:w="0" w:type="dxa"/>
          <w:left w:w="0" w:type="dxa"/>
          <w:bottom w:w="0" w:type="dxa"/>
          <w:right w:w="0" w:type="dxa"/>
        </w:tblCellMar>
      </w:tblPr>
      <w:tblGrid>
        <w:gridCol w:w="8306"/>
      </w:tblGrid>
      <w:tr>
        <w:tblPrEx>
          <w:shd w:val="clear"/>
          <w:tblLayout w:type="fixed"/>
          <w:tblCellMar>
            <w:top w:w="0" w:type="dxa"/>
            <w:left w:w="0" w:type="dxa"/>
            <w:bottom w:w="0" w:type="dxa"/>
            <w:right w:w="0" w:type="dxa"/>
          </w:tblCellMar>
        </w:tblPrEx>
        <w:trPr>
          <w:tblCellSpacing w:w="0" w:type="dxa"/>
          <w:jc w:val="center"/>
        </w:trPr>
        <w:tc>
          <w:tcPr>
            <w:tcW w:w="8306" w:type="dxa"/>
            <w:shd w:val="clear"/>
            <w:tcMar>
              <w:top w:w="15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center"/>
              <w:rPr>
                <w:rFonts w:ascii="text-indent:2em;" w:hAnsi="text-indent:2em;" w:eastAsia="text-indent:2em;" w:cs="text-indent:2em;"/>
                <w:color w:val="2B2B2B"/>
                <w:sz w:val="21"/>
                <w:szCs w:val="21"/>
              </w:rPr>
            </w:pPr>
            <w:r>
              <w:rPr>
                <w:rFonts w:ascii="新宋体" w:hAnsi="新宋体" w:eastAsia="新宋体" w:cs="新宋体"/>
                <w:color w:val="333333"/>
                <w:sz w:val="21"/>
                <w:szCs w:val="21"/>
                <w:u w:val="none"/>
                <w:bdr w:val="none" w:color="auto" w:sz="0" w:space="0"/>
              </w:rPr>
              <w:drawing>
                <wp:inline distT="0" distB="0" distL="114300" distR="114300">
                  <wp:extent cx="6467475" cy="2314575"/>
                  <wp:effectExtent l="0" t="0" r="9525" b="9525"/>
                  <wp:docPr id="2"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6467475" cy="2314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随着我国建筑发展形式发生转变，建设城市的概念不单单是追求现代化，而是更加注重绿色、环保、人文、智慧以及宜居性，装配式建筑具有符合绿色施工以及环保高效的特点，因此，全面推进装配式建筑发展成为建筑业的重中之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Style w:val="5"/>
                <w:rFonts w:ascii="新宋体" w:hAnsi="新宋体" w:eastAsia="新宋体" w:cs="新宋体"/>
                <w:color w:val="2B2B2B"/>
                <w:sz w:val="21"/>
                <w:szCs w:val="21"/>
                <w:bdr w:val="none" w:color="auto" w:sz="0" w:space="0"/>
              </w:rPr>
              <w:t>一、全国装配式建筑发展目标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2017年3月，住建部印发了《“十三五”装配式建筑行动方案》（以下简称“方案”），提出了两个总目标：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1）到2020年，全国装配式建筑占新建建筑的比例达到15%以上，其中重点推进地区达到20%以上，积极推进地区达到15%以上，鼓励推进地区达到10%以上；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2）到2020年，培育50个以上装配式建筑示范城市，200个以上装配式建筑产业基地，500个以上装配式建筑示范工程，建设30个以上装配式建筑科技创新基地，充分发挥示范引领和带动作用。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Style w:val="5"/>
                <w:rFonts w:ascii="新宋体" w:hAnsi="新宋体" w:eastAsia="新宋体" w:cs="新宋体"/>
                <w:color w:val="2B2B2B"/>
                <w:sz w:val="21"/>
                <w:szCs w:val="21"/>
                <w:bdr w:val="none" w:color="auto" w:sz="0" w:space="0"/>
              </w:rPr>
              <w:t>二、全国装配式建筑建设情况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据住建部统计，2015年全国新建装配式建筑面积为7260万平方米，占城镇新建建筑面积的比例为2.7%；2016年全国新建装配式建筑面积为1.14亿平方米，占城镇新建建筑面积的比例为4.9%，比2015年同比增长57%；2017年1-10月，全国已落实新建装配式建筑项目约1.27亿平方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257800" cy="1085850"/>
                  <wp:effectExtent l="0" t="0" r="0" b="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6"/>
                          <a:stretch>
                            <a:fillRect/>
                          </a:stretch>
                        </pic:blipFill>
                        <pic:spPr>
                          <a:xfrm>
                            <a:off x="0" y="0"/>
                            <a:ext cx="5257800" cy="1085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对比“方案”的目标1，在不到一年的时间里，全国装配式建筑占新建建筑的比例已经接近目标的1/3，而且2016年同比增长了57%。按照这样的增长速度，以及不断发展完善的装配式建筑标准规范体系，预计到2020年，我国一定能如期按要求完成“方案”目标之一，甚至是提前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2017年11月，住建部公布了首批装配式建筑示范城市和产业基地，认定北京市、杭州市、广安市等30个城市为第一批装配式建筑示范城市，北京住总集团有限责任公司、杭萧钢构股份有限公司、碧桂园控股有限公司等195个企业为第一批装配式建筑产业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257800" cy="28003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5257800" cy="2800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对比“方案”的目标2，在不到一年的时间里，培育的装配式建筑示范城市已经达到目标的60%，而培育的装配式建筑产业基地甚至是已经基本接近了目标的200个。按照这样的趋势继续发展，以及装配式技术的成熟，预计到2020年，我国一定能如期按要求完成“方案”目标之二，甚至是超额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Style w:val="5"/>
                <w:rFonts w:ascii="新宋体" w:hAnsi="新宋体" w:eastAsia="新宋体" w:cs="新宋体"/>
                <w:color w:val="2B2B2B"/>
                <w:sz w:val="21"/>
                <w:szCs w:val="21"/>
                <w:bdr w:val="none" w:color="auto" w:sz="0" w:space="0"/>
              </w:rPr>
              <w:t>三、全国各省市装配式建筑项目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装配式建筑按建筑结构的材料分类一般包括混凝土结构、钢结构、木结构等形式。据住建部官网发布的装配式建筑典型项目信息显示，目前混凝土结构占比最大，其次是钢结构。在各省市推广装配式建筑钢结构的政策引导下，预计未来钢结构的占比将逐渐提升。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1. 混凝土结构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295900" cy="60769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5295900" cy="6076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ascii="text-align:justify;text-indent:2em;" w:hAnsi="text-align:justify;text-indent:2em;" w:eastAsia="text-align:justify;text-indent:2em;" w:cs="text-align:justify;text-indent:2em;"/>
                <w:color w:val="2B2B2B"/>
                <w:sz w:val="21"/>
                <w:szCs w:val="21"/>
              </w:rPr>
            </w:pPr>
            <w:r>
              <w:rPr>
                <w:rFonts w:ascii="新宋体" w:hAnsi="新宋体" w:eastAsia="新宋体" w:cs="新宋体"/>
                <w:color w:val="2B2B2B"/>
                <w:sz w:val="21"/>
                <w:szCs w:val="21"/>
                <w:bdr w:val="none" w:color="auto" w:sz="0" w:space="0"/>
              </w:rPr>
              <w:t>2.钢结构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justify;text-indent:2em;" w:hAnsi="text-align:justify;text-indent:2em;" w:eastAsia="text-align:justify;text-indent:2em;" w:cs="text-align:justify;text-indent:2em;"/>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219700" cy="3305175"/>
                  <wp:effectExtent l="0" t="0" r="0"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9"/>
                          <a:stretch>
                            <a:fillRect/>
                          </a:stretch>
                        </pic:blipFill>
                        <pic:spPr>
                          <a:xfrm>
                            <a:off x="0" y="0"/>
                            <a:ext cx="5219700" cy="3305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justify;text-indent:2em;" w:hAnsi="text-align:justify;text-indent:2em;" w:eastAsia="text-align:justify;text-indent:2em;" w:cs="text-align:justify;text-indent:2em;"/>
                <w:color w:val="2B2B2B"/>
                <w:sz w:val="21"/>
                <w:szCs w:val="21"/>
              </w:rPr>
            </w:pPr>
            <w:r>
              <w:rPr>
                <w:rFonts w:ascii="新宋体" w:hAnsi="新宋体" w:eastAsia="新宋体" w:cs="新宋体"/>
                <w:color w:val="2B2B2B"/>
                <w:sz w:val="21"/>
                <w:szCs w:val="21"/>
                <w:bdr w:val="none" w:color="auto" w:sz="0" w:space="0"/>
              </w:rPr>
              <w:t>3.木结构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238750" cy="876300"/>
                  <wp:effectExtent l="0" t="0" r="0" b="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0"/>
                          <a:stretch>
                            <a:fillRect/>
                          </a:stretch>
                        </pic:blipFill>
                        <pic:spPr>
                          <a:xfrm>
                            <a:off x="0" y="0"/>
                            <a:ext cx="5238750" cy="876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Style w:val="5"/>
                <w:rFonts w:ascii="新宋体" w:hAnsi="新宋体" w:eastAsia="新宋体" w:cs="新宋体"/>
                <w:color w:val="2B2B2B"/>
                <w:sz w:val="21"/>
                <w:szCs w:val="21"/>
                <w:bdr w:val="none" w:color="auto" w:sz="0" w:space="0"/>
              </w:rPr>
              <w:t>四、装配式建筑产业园和相关企业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装配式建筑项目的建设直接带动了设计、施工、部品部件生产、装配化装修、设备制造、运输物流及相关配套等全产业链的发展，目前全国有至少18个装配式建筑产业园已建成或处于规划阶段。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1.装配式建筑产业园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191125" cy="2238375"/>
                  <wp:effectExtent l="0" t="0" r="9525" b="952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1"/>
                          <a:stretch>
                            <a:fillRect/>
                          </a:stretch>
                        </pic:blipFill>
                        <pic:spPr>
                          <a:xfrm>
                            <a:off x="0" y="0"/>
                            <a:ext cx="5191125" cy="2238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justify;text-indent:2em;" w:hAnsi="text-align:justify;text-indent:2em;" w:eastAsia="text-align:justify;text-indent:2em;" w:cs="text-align:justify;text-indent:2em;"/>
                <w:color w:val="2B2B2B"/>
                <w:sz w:val="21"/>
                <w:szCs w:val="21"/>
              </w:rPr>
            </w:pPr>
            <w:r>
              <w:rPr>
                <w:rFonts w:ascii="新宋体" w:hAnsi="新宋体" w:eastAsia="新宋体" w:cs="新宋体"/>
                <w:color w:val="2B2B2B"/>
                <w:sz w:val="21"/>
                <w:szCs w:val="21"/>
                <w:bdr w:val="none" w:color="auto" w:sz="0" w:space="0"/>
              </w:rPr>
              <w:t>2.装配式建筑施工企业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276850" cy="7600950"/>
                  <wp:effectExtent l="0" t="0" r="0" b="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2"/>
                          <a:stretch>
                            <a:fillRect/>
                          </a:stretch>
                        </pic:blipFill>
                        <pic:spPr>
                          <a:xfrm>
                            <a:off x="0" y="0"/>
                            <a:ext cx="5276850" cy="7600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267325" cy="7781925"/>
                  <wp:effectExtent l="0" t="0" r="9525" b="952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3"/>
                          <a:stretch>
                            <a:fillRect/>
                          </a:stretch>
                        </pic:blipFill>
                        <pic:spPr>
                          <a:xfrm>
                            <a:off x="0" y="0"/>
                            <a:ext cx="5267325" cy="7781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248275" cy="1952625"/>
                  <wp:effectExtent l="0" t="0" r="9525" b="9525"/>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4"/>
                          <a:stretch>
                            <a:fillRect/>
                          </a:stretch>
                        </pic:blipFill>
                        <pic:spPr>
                          <a:xfrm>
                            <a:off x="0" y="0"/>
                            <a:ext cx="5248275" cy="1952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justify;text-indent:2em;" w:hAnsi="text-align:justify;text-indent:2em;" w:eastAsia="text-align:justify;text-indent:2em;" w:cs="text-align:justify;text-indent:2em;"/>
                <w:color w:val="2B2B2B"/>
                <w:sz w:val="21"/>
                <w:szCs w:val="21"/>
              </w:rPr>
            </w:pPr>
            <w:r>
              <w:rPr>
                <w:rFonts w:ascii="新宋体" w:hAnsi="新宋体" w:eastAsia="新宋体" w:cs="新宋体"/>
                <w:color w:val="2B2B2B"/>
                <w:sz w:val="21"/>
                <w:szCs w:val="21"/>
                <w:bdr w:val="none" w:color="auto" w:sz="0" w:space="0"/>
              </w:rPr>
              <w:t>3.装配式构件生产项目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justify;text-indent:2em;" w:hAnsi="text-align:justify;text-indent:2em;" w:eastAsia="text-align:justify;text-indent:2em;" w:cs="text-align:justify;text-indent:2em;"/>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495925" cy="8334375"/>
                  <wp:effectExtent l="0" t="0" r="9525"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5"/>
                          <a:stretch>
                            <a:fillRect/>
                          </a:stretch>
                        </pic:blipFill>
                        <pic:spPr>
                          <a:xfrm>
                            <a:off x="0" y="0"/>
                            <a:ext cx="5495925" cy="8334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根据优采大数据平台对已建设装配式建筑项目的开发商数据统计显示，开发商关注的装配式建筑预制构件排在前三位的分别是内墙板43.8%、楼梯段42.98%和外墙板33.06%。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4895850" cy="263842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6"/>
                          <a:stretch>
                            <a:fillRect/>
                          </a:stretch>
                        </pic:blipFill>
                        <pic:spPr>
                          <a:xfrm>
                            <a:off x="0" y="0"/>
                            <a:ext cx="4895850" cy="26384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Style w:val="5"/>
                <w:rFonts w:ascii="新宋体" w:hAnsi="新宋体" w:eastAsia="新宋体" w:cs="新宋体"/>
                <w:color w:val="2B2B2B"/>
                <w:sz w:val="21"/>
                <w:szCs w:val="21"/>
                <w:bdr w:val="none" w:color="auto" w:sz="0" w:space="0"/>
              </w:rPr>
              <w:t>五、装配式建筑发展目前存在的问题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国内装配式建筑目前仍处于试点探索阶段，还存在一些不确定因素，需要一个总结完善的过程，使装配式建筑稳步进入规模化、标准化的发展阶段。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Style w:val="5"/>
                <w:rFonts w:ascii="新宋体" w:hAnsi="新宋体" w:eastAsia="新宋体" w:cs="新宋体"/>
                <w:color w:val="2B2B2B"/>
                <w:sz w:val="21"/>
                <w:szCs w:val="21"/>
                <w:bdr w:val="none" w:color="auto" w:sz="0" w:space="0"/>
              </w:rPr>
              <w:t>1.装配式建筑发展阻力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根据优采大数据平台对已建设装配式建筑项目的开发商数据统计显示，开发商认为制约装配式建筑发展的阻力主要有：技术不成熟、上下游产业不健全，标准不健全，成本增加和设计施工一体化管理难度增大等。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076825" cy="1704975"/>
                  <wp:effectExtent l="0" t="0" r="9525"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7"/>
                          <a:stretch>
                            <a:fillRect/>
                          </a:stretch>
                        </pic:blipFill>
                        <pic:spPr>
                          <a:xfrm>
                            <a:off x="0" y="0"/>
                            <a:ext cx="5076825" cy="1704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Style w:val="5"/>
                <w:rFonts w:ascii="新宋体" w:hAnsi="新宋体" w:eastAsia="新宋体" w:cs="新宋体"/>
                <w:color w:val="2B2B2B"/>
                <w:sz w:val="21"/>
                <w:szCs w:val="21"/>
                <w:bdr w:val="none" w:color="auto" w:sz="0" w:space="0"/>
              </w:rPr>
              <w:t>2.装配式建筑施工难点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根据优采大数据平台对已建设装配式建筑项目的开发商数据统计显示，开发商认为装配式建筑施工的难点主要有：装配式建筑需较高的投入成本，装配式建筑外观较为单一、缺乏多样性，缺乏装配式建筑结构标准体系和装配式建筑目前频频出现质量问题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010150" cy="338137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8"/>
                          <a:stretch>
                            <a:fillRect/>
                          </a:stretch>
                        </pic:blipFill>
                        <pic:spPr>
                          <a:xfrm>
                            <a:off x="0" y="0"/>
                            <a:ext cx="5010150" cy="3381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Style w:val="5"/>
                <w:rFonts w:ascii="新宋体" w:hAnsi="新宋体" w:eastAsia="新宋体" w:cs="新宋体"/>
                <w:color w:val="2B2B2B"/>
                <w:sz w:val="21"/>
                <w:szCs w:val="21"/>
                <w:bdr w:val="none" w:color="auto" w:sz="0" w:space="0"/>
              </w:rPr>
              <w:t>3.装配式建筑受关注的内容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r>
              <w:rPr>
                <w:rFonts w:ascii="新宋体" w:hAnsi="新宋体" w:eastAsia="新宋体" w:cs="新宋体"/>
                <w:color w:val="2B2B2B"/>
                <w:sz w:val="21"/>
                <w:szCs w:val="21"/>
                <w:bdr w:val="none" w:color="auto" w:sz="0" w:space="0"/>
              </w:rPr>
              <w:t>根据优采大数据平台对已建设装配式建筑项目的开发商数据统计显示，装配式建筑备受开发商关注的内容主要有：装配式建筑成本控制，装配式结构标准及规范介绍，项目案例参观和构建深化设计、生成等。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indent:2em;text-align:justify;" w:hAnsi="text-indent:2em;text-align:justify;" w:eastAsia="text-indent:2em;text-align:justify;" w:cs="text-indent:2em;text-align:justify;"/>
                <w:color w:val="2B2B2B"/>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default" w:ascii="text-align:center;" w:hAnsi="text-align:center;" w:eastAsia="text-align:center;" w:cs="text-align:center;"/>
                <w:color w:val="2B2B2B"/>
                <w:sz w:val="21"/>
                <w:szCs w:val="21"/>
              </w:rPr>
            </w:pPr>
            <w:r>
              <w:rPr>
                <w:rFonts w:hint="default" w:ascii="text-align:center;" w:hAnsi="text-align:center;" w:eastAsia="text-align:center;" w:cs="text-align:center;"/>
                <w:color w:val="2B2B2B"/>
                <w:sz w:val="21"/>
                <w:szCs w:val="21"/>
                <w:bdr w:val="none" w:color="auto" w:sz="0" w:space="0"/>
              </w:rPr>
              <w:drawing>
                <wp:inline distT="0" distB="0" distL="114300" distR="114300">
                  <wp:extent cx="5000625" cy="2076450"/>
                  <wp:effectExtent l="0" t="0" r="9525"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9"/>
                          <a:stretch>
                            <a:fillRect/>
                          </a:stretch>
                        </pic:blipFill>
                        <pic:spPr>
                          <a:xfrm>
                            <a:off x="0" y="0"/>
                            <a:ext cx="5000625" cy="2076450"/>
                          </a:xfrm>
                          <a:prstGeom prst="rect">
                            <a:avLst/>
                          </a:prstGeom>
                          <a:noFill/>
                          <a:ln w="9525">
                            <a:noFill/>
                          </a:ln>
                        </pic:spPr>
                      </pic:pic>
                    </a:graphicData>
                  </a:graphic>
                </wp:inline>
              </w:drawing>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ext-indent:2em;">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新宋体">
    <w:panose1 w:val="02010609030101010101"/>
    <w:charset w:val="86"/>
    <w:family w:val="auto"/>
    <w:pitch w:val="default"/>
    <w:sig w:usb0="00000003" w:usb1="288F0000" w:usb2="00000006" w:usb3="00000000" w:csb0="00040001" w:csb1="00000000"/>
  </w:font>
  <w:font w:name="text-indent:2em;text-align:justify;">
    <w:altName w:val="AMGDT"/>
    <w:panose1 w:val="00000000000000000000"/>
    <w:charset w:val="00"/>
    <w:family w:val="auto"/>
    <w:pitch w:val="default"/>
    <w:sig w:usb0="00000000" w:usb1="00000000" w:usb2="00000000" w:usb3="00000000" w:csb0="00000000" w:csb1="00000000"/>
  </w:font>
  <w:font w:name="text-align:center;">
    <w:altName w:val="AMGDT"/>
    <w:panose1 w:val="00000000000000000000"/>
    <w:charset w:val="00"/>
    <w:family w:val="auto"/>
    <w:pitch w:val="default"/>
    <w:sig w:usb0="00000000" w:usb1="00000000" w:usb2="00000000" w:usb3="00000000" w:csb0="00000000" w:csb1="00000000"/>
  </w:font>
  <w:font w:name="text-align:justify;text-indent:2em;">
    <w:altName w:val="AMGD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761611"/>
    <w:rsid w:val="27761611"/>
    <w:rsid w:val="3FD25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 w:type="paragraph" w:customStyle="1" w:styleId="8">
    <w:name w:val="样式1"/>
    <w:basedOn w:val="2"/>
    <w:next w:val="1"/>
    <w:qFormat/>
    <w:uiPriority w:val="0"/>
    <w:pPr>
      <w:spacing w:after="130"/>
    </w:pPr>
    <w:rPr>
      <w:rFonts w:hint="eastAsia" w:ascii="宋体" w:hAnsi="宋体" w:cs="宋体" w:eastAsiaTheme="majorEastAsia"/>
      <w:kern w:val="0"/>
      <w:sz w:val="32"/>
      <w:szCs w:val="36"/>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u6567996.viewer.maka.im/k/2L401W2C" TargetMode="External"/><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2018-10-10T07:47:00Z</dcterms:created>
  <dc:creator>骑士的天空</dc:creator>
  <cp:lastModifiedBy>骑士的天空</cp:lastModifiedBy>
  <dcterms:modified xsi:type="dcterms:W3CDTF">2018-10-10T07:49:45Z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