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Lines="0" w:beforeAutospacing="0" w:after="0" w:afterLines="0" w:afterAutospacing="0"/>
        <w:jc w:val="center"/>
        <w:rPr>
          <w:rFonts w:hint="eastAsia"/>
          <w:lang w:eastAsia="zh-CN"/>
        </w:rPr>
      </w:pPr>
      <w:r>
        <w:rPr>
          <w:rFonts w:hint="eastAsia"/>
          <w:lang w:eastAsia="zh-CN"/>
        </w:rPr>
        <w:t>装配式建筑生产企业汇总</w:t>
      </w:r>
    </w:p>
    <w:p>
      <w:pPr>
        <w:rPr>
          <w:rFonts w:hint="eastAsia"/>
          <w:lang w:eastAsia="zh-CN"/>
        </w:rPr>
      </w:pPr>
    </w:p>
    <w:p>
      <w:pPr>
        <w:rPr>
          <w:rFonts w:hint="eastAsia"/>
          <w:lang w:eastAsia="zh-CN"/>
        </w:rPr>
      </w:pPr>
    </w:p>
    <w:tbl>
      <w:tblPr>
        <w:tblStyle w:val="6"/>
        <w:tblW w:w="9915"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4"/>
        <w:gridCol w:w="884"/>
        <w:gridCol w:w="1420"/>
        <w:gridCol w:w="1421"/>
        <w:gridCol w:w="1421"/>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4" w:type="dxa"/>
            <w:vAlign w:val="top"/>
          </w:tcPr>
          <w:p>
            <w:pPr>
              <w:jc w:val="center"/>
              <w:rPr>
                <w:rFonts w:hint="default" w:ascii="Times New Roman" w:hAnsi="Times New Roman" w:cs="Times New Roman"/>
                <w:vertAlign w:val="baseline"/>
              </w:rPr>
            </w:pPr>
            <w:r>
              <w:rPr>
                <w:rFonts w:hint="default" w:ascii="Times New Roman" w:hAnsi="Times New Roman" w:cs="Times New Roman"/>
                <w:kern w:val="2"/>
                <w:sz w:val="28"/>
                <w:szCs w:val="28"/>
                <w:vertAlign w:val="baseline"/>
                <w:lang w:val="en-US" w:eastAsia="zh-CN" w:bidi="ar-SA"/>
              </w:rPr>
              <w:t>单位名称</w:t>
            </w:r>
          </w:p>
        </w:tc>
        <w:tc>
          <w:tcPr>
            <w:tcW w:w="884" w:type="dxa"/>
            <w:vAlign w:val="top"/>
          </w:tcPr>
          <w:p>
            <w:pPr>
              <w:jc w:val="center"/>
              <w:rPr>
                <w:rFonts w:hint="default" w:ascii="Times New Roman" w:hAnsi="Times New Roman" w:cs="Times New Roman"/>
                <w:vertAlign w:val="baseline"/>
              </w:rPr>
            </w:pPr>
            <w:r>
              <w:rPr>
                <w:rFonts w:hint="default" w:ascii="Times New Roman" w:hAnsi="Times New Roman" w:cs="Times New Roman"/>
                <w:sz w:val="28"/>
                <w:szCs w:val="28"/>
                <w:vertAlign w:val="baseline"/>
                <w:lang w:eastAsia="zh-CN"/>
              </w:rPr>
              <w:t>规模</w:t>
            </w:r>
          </w:p>
        </w:tc>
        <w:tc>
          <w:tcPr>
            <w:tcW w:w="1420" w:type="dxa"/>
            <w:vAlign w:val="top"/>
          </w:tcPr>
          <w:p>
            <w:pPr>
              <w:jc w:val="center"/>
              <w:rPr>
                <w:rFonts w:hint="default" w:ascii="Times New Roman" w:hAnsi="Times New Roman" w:cs="Times New Roman"/>
                <w:vertAlign w:val="baseline"/>
              </w:rPr>
            </w:pPr>
            <w:r>
              <w:rPr>
                <w:rFonts w:hint="default" w:ascii="Times New Roman" w:hAnsi="Times New Roman" w:cs="Times New Roman"/>
                <w:kern w:val="2"/>
                <w:sz w:val="28"/>
                <w:szCs w:val="28"/>
                <w:vertAlign w:val="baseline"/>
                <w:lang w:val="en-US" w:eastAsia="zh-CN" w:bidi="ar-SA"/>
              </w:rPr>
              <w:t>年产能</w:t>
            </w:r>
          </w:p>
        </w:tc>
        <w:tc>
          <w:tcPr>
            <w:tcW w:w="1421" w:type="dxa"/>
            <w:vAlign w:val="top"/>
          </w:tcPr>
          <w:p>
            <w:pPr>
              <w:jc w:val="center"/>
              <w:rPr>
                <w:rFonts w:hint="default" w:ascii="Times New Roman" w:hAnsi="Times New Roman" w:cs="Times New Roman"/>
                <w:vertAlign w:val="baseline"/>
              </w:rPr>
            </w:pPr>
            <w:r>
              <w:rPr>
                <w:rFonts w:hint="default" w:ascii="Times New Roman" w:hAnsi="Times New Roman" w:cs="Times New Roman"/>
                <w:sz w:val="28"/>
                <w:szCs w:val="28"/>
                <w:vertAlign w:val="baseline"/>
                <w:lang w:eastAsia="zh-CN"/>
              </w:rPr>
              <w:t>备注</w:t>
            </w:r>
          </w:p>
        </w:tc>
        <w:tc>
          <w:tcPr>
            <w:tcW w:w="1421" w:type="dxa"/>
            <w:vAlign w:val="top"/>
          </w:tcPr>
          <w:p>
            <w:pPr>
              <w:jc w:val="center"/>
              <w:rPr>
                <w:rFonts w:hint="default" w:ascii="Times New Roman" w:hAnsi="Times New Roman" w:cs="Times New Roman"/>
                <w:vertAlign w:val="baseline"/>
              </w:rPr>
            </w:pPr>
            <w:r>
              <w:rPr>
                <w:rFonts w:hint="default" w:ascii="Times New Roman" w:hAnsi="Times New Roman" w:cs="Times New Roman"/>
                <w:sz w:val="28"/>
                <w:szCs w:val="28"/>
                <w:vertAlign w:val="baseline"/>
                <w:lang w:eastAsia="zh-CN"/>
              </w:rPr>
              <w:t>地址</w:t>
            </w:r>
          </w:p>
        </w:tc>
        <w:tc>
          <w:tcPr>
            <w:tcW w:w="2255" w:type="dxa"/>
          </w:tcPr>
          <w:p>
            <w:pPr>
              <w:spacing w:beforeAutospacing="0"/>
              <w:rPr>
                <w:rFonts w:hint="default" w:ascii="Times New Roman" w:hAnsi="Times New Roman" w:cs="Times New Roman" w:eastAsiaTheme="minorEastAsia"/>
                <w:vertAlign w:val="baseline"/>
                <w:lang w:val="en-US" w:eastAsia="zh-CN"/>
              </w:rPr>
            </w:pPr>
            <w:r>
              <w:rPr>
                <w:rFonts w:hint="default" w:ascii="Times New Roman" w:hAnsi="Times New Roman" w:cs="Times New Roman"/>
                <w:sz w:val="28"/>
                <w:szCs w:val="28"/>
                <w:vertAlign w:val="baseline"/>
                <w:lang w:val="en-US" w:eastAsia="zh-CN"/>
              </w:rPr>
              <w:t>投资方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4"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val="en-US" w:eastAsia="zh-CN"/>
              </w:rPr>
              <w:t>PC结构部件生产企业</w:t>
            </w:r>
          </w:p>
        </w:tc>
        <w:tc>
          <w:tcPr>
            <w:tcW w:w="884" w:type="dxa"/>
            <w:vAlign w:val="top"/>
          </w:tcPr>
          <w:p>
            <w:pPr>
              <w:jc w:val="center"/>
              <w:rPr>
                <w:rFonts w:hint="default" w:ascii="Times New Roman" w:hAnsi="Times New Roman" w:cs="Times New Roman"/>
                <w:sz w:val="24"/>
                <w:szCs w:val="24"/>
                <w:vertAlign w:val="baseline"/>
              </w:rPr>
            </w:pPr>
          </w:p>
        </w:tc>
        <w:tc>
          <w:tcPr>
            <w:tcW w:w="1420" w:type="dxa"/>
            <w:vAlign w:val="top"/>
          </w:tcPr>
          <w:p>
            <w:pPr>
              <w:jc w:val="center"/>
              <w:rPr>
                <w:rFonts w:hint="default" w:ascii="Times New Roman" w:hAnsi="Times New Roman" w:cs="Times New Roman"/>
                <w:sz w:val="24"/>
                <w:szCs w:val="24"/>
                <w:vertAlign w:val="baseline"/>
              </w:rPr>
            </w:pPr>
          </w:p>
        </w:tc>
        <w:tc>
          <w:tcPr>
            <w:tcW w:w="1421" w:type="dxa"/>
            <w:vAlign w:val="top"/>
          </w:tcPr>
          <w:p>
            <w:pPr>
              <w:jc w:val="center"/>
              <w:rPr>
                <w:rFonts w:hint="default" w:ascii="Times New Roman" w:hAnsi="Times New Roman" w:cs="Times New Roman"/>
                <w:sz w:val="24"/>
                <w:szCs w:val="24"/>
                <w:vertAlign w:val="baseline"/>
              </w:rPr>
            </w:pPr>
          </w:p>
        </w:tc>
        <w:tc>
          <w:tcPr>
            <w:tcW w:w="1421" w:type="dxa"/>
            <w:vAlign w:val="top"/>
          </w:tcPr>
          <w:p>
            <w:pPr>
              <w:jc w:val="center"/>
              <w:rPr>
                <w:rFonts w:hint="default" w:ascii="Times New Roman" w:hAnsi="Times New Roman" w:cs="Times New Roman"/>
                <w:sz w:val="24"/>
                <w:szCs w:val="24"/>
                <w:vertAlign w:val="baseline"/>
              </w:rPr>
            </w:pPr>
          </w:p>
        </w:tc>
        <w:tc>
          <w:tcPr>
            <w:tcW w:w="2255" w:type="dxa"/>
          </w:tcPr>
          <w:p>
            <w:pPr>
              <w:spacing w:beforeAutospacing="0"/>
              <w:rPr>
                <w:rFonts w:hint="default" w:ascii="Times New Roman" w:hAnsi="Times New Roman"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4"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eastAsia="zh-CN"/>
              </w:rPr>
              <w:t>成都建工工业化建筑有限公司</w:t>
            </w:r>
          </w:p>
        </w:tc>
        <w:tc>
          <w:tcPr>
            <w:tcW w:w="884"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eastAsia="zh-CN"/>
              </w:rPr>
              <w:t>270亩</w:t>
            </w:r>
          </w:p>
        </w:tc>
        <w:tc>
          <w:tcPr>
            <w:tcW w:w="1420"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eastAsia="zh-CN"/>
              </w:rPr>
              <w:t>设计产能20万立方米/年</w:t>
            </w:r>
          </w:p>
        </w:tc>
        <w:tc>
          <w:tcPr>
            <w:tcW w:w="1421"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eastAsia="zh-CN"/>
              </w:rPr>
              <w:t>已建成</w:t>
            </w:r>
          </w:p>
        </w:tc>
        <w:tc>
          <w:tcPr>
            <w:tcW w:w="1421"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eastAsia="zh-CN"/>
              </w:rPr>
              <w:t>成都市青白江区工业集中发展区万桂路1188号</w:t>
            </w:r>
          </w:p>
        </w:tc>
        <w:tc>
          <w:tcPr>
            <w:tcW w:w="2255" w:type="dxa"/>
          </w:tcPr>
          <w:p>
            <w:pPr>
              <w:spacing w:beforeAutospacing="0"/>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成都建筑工程集团总公司</w:t>
            </w:r>
            <w:r>
              <w:rPr>
                <w:rFonts w:hint="eastAsia" w:ascii="Times New Roman" w:hAnsi="Times New Roman" w:cs="Times New Roman"/>
                <w:sz w:val="24"/>
                <w:szCs w:val="24"/>
                <w:vertAlign w:val="baseline"/>
                <w:lang w:eastAsia="zh-CN"/>
              </w:rPr>
              <w:t>、</w:t>
            </w:r>
            <w:r>
              <w:rPr>
                <w:rFonts w:hint="eastAsia"/>
                <w:sz w:val="24"/>
                <w:szCs w:val="24"/>
                <w:vertAlign w:val="baseline"/>
                <w:lang w:eastAsia="zh-CN"/>
              </w:rPr>
              <w:t>成都兴城集团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4"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eastAsia="zh-CN"/>
              </w:rPr>
              <w:t>成都城投远大建筑科技有限公司</w:t>
            </w:r>
          </w:p>
        </w:tc>
        <w:tc>
          <w:tcPr>
            <w:tcW w:w="884" w:type="dxa"/>
            <w:vAlign w:val="top"/>
          </w:tcPr>
          <w:p>
            <w:pPr>
              <w:spacing w:line="360" w:lineRule="auto"/>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eastAsia="zh-CN"/>
              </w:rPr>
              <w:t>240亩</w:t>
            </w:r>
          </w:p>
        </w:tc>
        <w:tc>
          <w:tcPr>
            <w:tcW w:w="1420" w:type="dxa"/>
            <w:vAlign w:val="top"/>
          </w:tcPr>
          <w:p>
            <w:pPr>
              <w:jc w:val="center"/>
              <w:rPr>
                <w:rFonts w:hint="default" w:ascii="Times New Roman" w:hAnsi="Times New Roman" w:cs="Times New Roman"/>
                <w:sz w:val="24"/>
                <w:szCs w:val="24"/>
                <w:vertAlign w:val="baseline"/>
                <w:lang w:eastAsia="zh-CN"/>
              </w:rPr>
            </w:pPr>
            <w:r>
              <w:rPr>
                <w:rFonts w:hint="default" w:ascii="Times New Roman" w:hAnsi="Times New Roman" w:cs="Times New Roman"/>
                <w:sz w:val="24"/>
                <w:szCs w:val="24"/>
                <w:vertAlign w:val="baseline"/>
                <w:lang w:eastAsia="zh-CN"/>
              </w:rPr>
              <w:t>一期设计产能30万立方米/年；</w:t>
            </w:r>
          </w:p>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eastAsia="zh-CN"/>
              </w:rPr>
              <w:t>二期设计产能30万立方米/年</w:t>
            </w:r>
          </w:p>
        </w:tc>
        <w:tc>
          <w:tcPr>
            <w:tcW w:w="1421"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eastAsia="zh-CN"/>
              </w:rPr>
              <w:t>已建成</w:t>
            </w:r>
          </w:p>
        </w:tc>
        <w:tc>
          <w:tcPr>
            <w:tcW w:w="1421"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eastAsia="zh-CN"/>
              </w:rPr>
              <w:t>郫县成都现代工业港北片区港通北四路999号</w:t>
            </w:r>
          </w:p>
        </w:tc>
        <w:tc>
          <w:tcPr>
            <w:tcW w:w="2255" w:type="dxa"/>
          </w:tcPr>
          <w:p>
            <w:pPr>
              <w:spacing w:beforeAutospacing="0"/>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成都城投集团</w:t>
            </w:r>
            <w:r>
              <w:rPr>
                <w:rFonts w:hint="eastAsia" w:ascii="Times New Roman" w:hAnsi="Times New Roman" w:cs="Times New Roman"/>
                <w:sz w:val="24"/>
                <w:szCs w:val="24"/>
                <w:vertAlign w:val="baseline"/>
                <w:lang w:eastAsia="zh-CN"/>
              </w:rPr>
              <w:t>、</w:t>
            </w:r>
            <w:r>
              <w:rPr>
                <w:rFonts w:hint="default" w:ascii="Times New Roman" w:hAnsi="Times New Roman" w:cs="Times New Roman"/>
                <w:sz w:val="24"/>
                <w:szCs w:val="24"/>
                <w:vertAlign w:val="baseline"/>
              </w:rPr>
              <w:t>中国五冶、湖南长沙远大住工、四川省建筑设计院、成都市建筑设计院共同出资成立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4"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eastAsiaTheme="minorEastAsia"/>
                <w:kern w:val="2"/>
                <w:sz w:val="24"/>
                <w:szCs w:val="24"/>
                <w:vertAlign w:val="baseline"/>
                <w:lang w:val="en-US" w:eastAsia="zh-CN" w:bidi="ar-SA"/>
              </w:rPr>
              <w:t>四川华构住宅工业有限公司</w:t>
            </w:r>
          </w:p>
        </w:tc>
        <w:tc>
          <w:tcPr>
            <w:tcW w:w="884"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eastAsia="zh-CN"/>
              </w:rPr>
              <w:t>230亩</w:t>
            </w:r>
          </w:p>
        </w:tc>
        <w:tc>
          <w:tcPr>
            <w:tcW w:w="1420"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eastAsia="zh-CN"/>
              </w:rPr>
              <w:t>设计产能20万立方米/年</w:t>
            </w:r>
          </w:p>
        </w:tc>
        <w:tc>
          <w:tcPr>
            <w:tcW w:w="1421"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eastAsia="zh-CN"/>
              </w:rPr>
              <w:t>已建成</w:t>
            </w:r>
          </w:p>
        </w:tc>
        <w:tc>
          <w:tcPr>
            <w:tcW w:w="1421"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四川省乐山市市中区中国 四川 乐山市市中区 翡翠路461号</w:t>
            </w:r>
          </w:p>
        </w:tc>
        <w:tc>
          <w:tcPr>
            <w:tcW w:w="2255" w:type="dxa"/>
          </w:tcPr>
          <w:p>
            <w:pPr>
              <w:spacing w:beforeAutospacing="0"/>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中国建材集团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4"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eastAsia="zh-CN"/>
              </w:rPr>
              <w:t>中建科技成都有限公司</w:t>
            </w:r>
          </w:p>
        </w:tc>
        <w:tc>
          <w:tcPr>
            <w:tcW w:w="884"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eastAsia="zh-CN"/>
              </w:rPr>
              <w:t>167亩</w:t>
            </w:r>
          </w:p>
        </w:tc>
        <w:tc>
          <w:tcPr>
            <w:tcW w:w="1420"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eastAsia="zh-CN"/>
              </w:rPr>
              <w:t>设计产能20万立方米/年</w:t>
            </w:r>
          </w:p>
        </w:tc>
        <w:tc>
          <w:tcPr>
            <w:tcW w:w="1421"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eastAsia="zh-CN"/>
              </w:rPr>
              <w:t>已建成</w:t>
            </w:r>
          </w:p>
        </w:tc>
        <w:tc>
          <w:tcPr>
            <w:tcW w:w="1421"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eastAsia="zh-CN"/>
              </w:rPr>
              <w:t>成都市天府新区新兴工业园天工南一路578号</w:t>
            </w:r>
          </w:p>
        </w:tc>
        <w:tc>
          <w:tcPr>
            <w:tcW w:w="2255" w:type="dxa"/>
          </w:tcPr>
          <w:p>
            <w:pPr>
              <w:spacing w:beforeAutospacing="0"/>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中建科技集团有限公司、成都天府新区投资集团有限公司、中建西部建设股份有限公司、中国建筑西南设计研究院有限公司共同出资成立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4"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eastAsiaTheme="minorEastAsia"/>
                <w:sz w:val="24"/>
                <w:szCs w:val="24"/>
                <w:vertAlign w:val="baseline"/>
                <w:lang w:val="en-US" w:eastAsia="zh-CN"/>
              </w:rPr>
              <w:t xml:space="preserve"> 四川华西绿舍预制构件有限公司</w:t>
            </w:r>
          </w:p>
        </w:tc>
        <w:tc>
          <w:tcPr>
            <w:tcW w:w="884" w:type="dxa"/>
            <w:vAlign w:val="top"/>
          </w:tcPr>
          <w:p>
            <w:pPr>
              <w:jc w:val="center"/>
              <w:rPr>
                <w:rFonts w:hint="default" w:ascii="Times New Roman" w:hAnsi="Times New Roman" w:cs="Times New Roman"/>
                <w:sz w:val="24"/>
                <w:szCs w:val="24"/>
                <w:vertAlign w:val="baseline"/>
              </w:rPr>
            </w:pPr>
            <w:r>
              <w:rPr>
                <w:rFonts w:hint="default" w:ascii="Times New Roman" w:hAnsi="Times New Roman" w:eastAsia="微软雅黑" w:cs="Times New Roman"/>
                <w:b w:val="0"/>
                <w:i w:val="0"/>
                <w:caps w:val="0"/>
                <w:color w:val="000000"/>
                <w:spacing w:val="0"/>
                <w:sz w:val="24"/>
                <w:szCs w:val="24"/>
                <w:shd w:val="clear" w:fill="FFFFFF"/>
              </w:rPr>
              <w:t>342亩</w:t>
            </w:r>
          </w:p>
        </w:tc>
        <w:tc>
          <w:tcPr>
            <w:tcW w:w="1420" w:type="dxa"/>
            <w:vAlign w:val="top"/>
          </w:tcPr>
          <w:p>
            <w:pPr>
              <w:jc w:val="center"/>
              <w:rPr>
                <w:rFonts w:hint="default" w:ascii="Times New Roman" w:hAnsi="Times New Roman" w:cs="Times New Roman"/>
                <w:sz w:val="24"/>
                <w:szCs w:val="24"/>
                <w:vertAlign w:val="baseline"/>
              </w:rPr>
            </w:pPr>
          </w:p>
        </w:tc>
        <w:tc>
          <w:tcPr>
            <w:tcW w:w="1421"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eastAsia="zh-CN"/>
              </w:rPr>
              <w:t>已建成</w:t>
            </w:r>
          </w:p>
        </w:tc>
        <w:tc>
          <w:tcPr>
            <w:tcW w:w="1421"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eastAsia="zh-CN"/>
              </w:rPr>
              <w:t xml:space="preserve"> 四川省德阳市嘉陵江西路629号</w:t>
            </w:r>
          </w:p>
        </w:tc>
        <w:tc>
          <w:tcPr>
            <w:tcW w:w="2255" w:type="dxa"/>
          </w:tcPr>
          <w:p>
            <w:pPr>
              <w:spacing w:beforeAutospacing="0"/>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四川华西绿舍建材有限公司、四川省第七建筑工程公司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4"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eastAsia="zh-CN"/>
              </w:rPr>
              <w:t>万科双流厂</w:t>
            </w:r>
          </w:p>
        </w:tc>
        <w:tc>
          <w:tcPr>
            <w:tcW w:w="884" w:type="dxa"/>
            <w:vAlign w:val="top"/>
          </w:tcPr>
          <w:p>
            <w:pPr>
              <w:jc w:val="center"/>
              <w:rPr>
                <w:rFonts w:hint="default" w:ascii="Times New Roman" w:hAnsi="Times New Roman" w:cs="Times New Roman"/>
                <w:sz w:val="24"/>
                <w:szCs w:val="24"/>
                <w:vertAlign w:val="baseline"/>
              </w:rPr>
            </w:pPr>
          </w:p>
        </w:tc>
        <w:tc>
          <w:tcPr>
            <w:tcW w:w="1420" w:type="dxa"/>
            <w:vAlign w:val="top"/>
          </w:tcPr>
          <w:p>
            <w:pPr>
              <w:jc w:val="center"/>
              <w:rPr>
                <w:rFonts w:hint="default" w:ascii="Times New Roman" w:hAnsi="Times New Roman" w:cs="Times New Roman"/>
                <w:sz w:val="24"/>
                <w:szCs w:val="24"/>
                <w:vertAlign w:val="baseline"/>
              </w:rPr>
            </w:pPr>
          </w:p>
        </w:tc>
        <w:tc>
          <w:tcPr>
            <w:tcW w:w="1421"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eastAsia="zh-CN"/>
              </w:rPr>
              <w:t>在建</w:t>
            </w:r>
          </w:p>
        </w:tc>
        <w:tc>
          <w:tcPr>
            <w:tcW w:w="1421" w:type="dxa"/>
            <w:vAlign w:val="top"/>
          </w:tcPr>
          <w:p>
            <w:pPr>
              <w:jc w:val="center"/>
              <w:rPr>
                <w:rFonts w:hint="default" w:ascii="Times New Roman" w:hAnsi="Times New Roman" w:cs="Times New Roman"/>
                <w:sz w:val="24"/>
                <w:szCs w:val="24"/>
                <w:vertAlign w:val="baseline"/>
              </w:rPr>
            </w:pPr>
          </w:p>
        </w:tc>
        <w:tc>
          <w:tcPr>
            <w:tcW w:w="2255" w:type="dxa"/>
          </w:tcPr>
          <w:p>
            <w:pPr>
              <w:spacing w:beforeAutospacing="0"/>
              <w:rPr>
                <w:rFonts w:hint="default" w:ascii="Times New Roman" w:hAnsi="Times New Roman"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4"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eastAsia="zh-CN"/>
              </w:rPr>
              <w:t>美好</w:t>
            </w:r>
            <w:r>
              <w:rPr>
                <w:rFonts w:hint="eastAsia" w:ascii="Times New Roman" w:hAnsi="Times New Roman" w:cs="Times New Roman"/>
                <w:sz w:val="24"/>
                <w:szCs w:val="24"/>
                <w:vertAlign w:val="baseline"/>
                <w:lang w:eastAsia="zh-CN"/>
              </w:rPr>
              <w:t>建筑装配科技</w:t>
            </w:r>
            <w:bookmarkStart w:id="0" w:name="_GoBack"/>
            <w:bookmarkEnd w:id="0"/>
            <w:r>
              <w:rPr>
                <w:rFonts w:hint="default" w:ascii="Times New Roman" w:hAnsi="Times New Roman" w:cs="Times New Roman"/>
                <w:sz w:val="24"/>
                <w:szCs w:val="24"/>
                <w:vertAlign w:val="baseline"/>
                <w:lang w:eastAsia="zh-CN"/>
              </w:rPr>
              <w:t>集团</w:t>
            </w:r>
          </w:p>
        </w:tc>
        <w:tc>
          <w:tcPr>
            <w:tcW w:w="884" w:type="dxa"/>
            <w:vAlign w:val="top"/>
          </w:tcPr>
          <w:p>
            <w:pPr>
              <w:jc w:val="center"/>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sz w:val="24"/>
                <w:szCs w:val="24"/>
                <w:vertAlign w:val="baseline"/>
                <w:lang w:val="en-US" w:eastAsia="zh-CN"/>
              </w:rPr>
              <w:t>114亩</w:t>
            </w:r>
          </w:p>
        </w:tc>
        <w:tc>
          <w:tcPr>
            <w:tcW w:w="1420" w:type="dxa"/>
            <w:vAlign w:val="top"/>
          </w:tcPr>
          <w:p>
            <w:pPr>
              <w:jc w:val="center"/>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sz w:val="24"/>
                <w:szCs w:val="24"/>
                <w:vertAlign w:val="baseline"/>
                <w:lang w:val="en-US" w:eastAsia="zh-CN"/>
              </w:rPr>
              <w:t>30万</w:t>
            </w:r>
          </w:p>
        </w:tc>
        <w:tc>
          <w:tcPr>
            <w:tcW w:w="1421"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eastAsia="zh-CN"/>
              </w:rPr>
              <w:t>在建</w:t>
            </w:r>
          </w:p>
        </w:tc>
        <w:tc>
          <w:tcPr>
            <w:tcW w:w="1421" w:type="dxa"/>
            <w:vAlign w:val="top"/>
          </w:tcPr>
          <w:p>
            <w:pPr>
              <w:jc w:val="center"/>
              <w:rPr>
                <w:rFonts w:hint="default" w:ascii="Times New Roman" w:hAnsi="Times New Roman" w:cs="Times New Roman"/>
                <w:sz w:val="24"/>
                <w:szCs w:val="24"/>
                <w:vertAlign w:val="baseline"/>
              </w:rPr>
            </w:pPr>
          </w:p>
        </w:tc>
        <w:tc>
          <w:tcPr>
            <w:tcW w:w="2255" w:type="dxa"/>
          </w:tcPr>
          <w:p>
            <w:pPr>
              <w:spacing w:beforeAutospacing="0"/>
              <w:rPr>
                <w:rFonts w:hint="default" w:ascii="Times New Roman" w:hAnsi="Times New Roman"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4" w:type="dxa"/>
            <w:vAlign w:val="top"/>
          </w:tcPr>
          <w:p>
            <w:pPr>
              <w:jc w:val="center"/>
              <w:rPr>
                <w:rFonts w:hint="eastAsia" w:ascii="Times New Roman" w:hAnsi="Times New Roman" w:cs="Times New Roman" w:eastAsiaTheme="minorEastAsia"/>
                <w:sz w:val="24"/>
                <w:szCs w:val="24"/>
                <w:vertAlign w:val="baseline"/>
                <w:lang w:eastAsia="zh-CN"/>
              </w:rPr>
            </w:pPr>
            <w:r>
              <w:rPr>
                <w:rFonts w:hint="eastAsia" w:ascii="Times New Roman" w:hAnsi="Times New Roman" w:cs="Times New Roman"/>
                <w:sz w:val="24"/>
                <w:szCs w:val="24"/>
                <w:vertAlign w:val="baseline"/>
                <w:lang w:eastAsia="zh-CN"/>
              </w:rPr>
              <w:t>内江三谷远大</w:t>
            </w:r>
          </w:p>
        </w:tc>
        <w:tc>
          <w:tcPr>
            <w:tcW w:w="884" w:type="dxa"/>
            <w:vAlign w:val="top"/>
          </w:tcPr>
          <w:p>
            <w:pPr>
              <w:jc w:val="center"/>
              <w:rPr>
                <w:rFonts w:hint="default" w:ascii="Times New Roman" w:hAnsi="Times New Roman" w:cs="Times New Roman"/>
                <w:sz w:val="24"/>
                <w:szCs w:val="24"/>
                <w:vertAlign w:val="baseline"/>
              </w:rPr>
            </w:pPr>
          </w:p>
        </w:tc>
        <w:tc>
          <w:tcPr>
            <w:tcW w:w="1420" w:type="dxa"/>
            <w:vAlign w:val="top"/>
          </w:tcPr>
          <w:p>
            <w:pPr>
              <w:jc w:val="center"/>
              <w:rPr>
                <w:rFonts w:hint="default" w:ascii="Times New Roman" w:hAnsi="Times New Roman" w:cs="Times New Roman"/>
                <w:sz w:val="24"/>
                <w:szCs w:val="24"/>
                <w:vertAlign w:val="baseline"/>
              </w:rPr>
            </w:pPr>
          </w:p>
        </w:tc>
        <w:tc>
          <w:tcPr>
            <w:tcW w:w="1421" w:type="dxa"/>
            <w:vAlign w:val="top"/>
          </w:tcPr>
          <w:p>
            <w:pPr>
              <w:jc w:val="center"/>
              <w:rPr>
                <w:rFonts w:hint="default" w:ascii="Times New Roman" w:hAnsi="Times New Roman" w:cs="Times New Roman"/>
                <w:sz w:val="24"/>
                <w:szCs w:val="24"/>
                <w:vertAlign w:val="baseline"/>
              </w:rPr>
            </w:pPr>
          </w:p>
        </w:tc>
        <w:tc>
          <w:tcPr>
            <w:tcW w:w="1421" w:type="dxa"/>
            <w:vAlign w:val="top"/>
          </w:tcPr>
          <w:p>
            <w:pPr>
              <w:jc w:val="center"/>
              <w:rPr>
                <w:rFonts w:hint="default" w:ascii="Times New Roman" w:hAnsi="Times New Roman" w:cs="Times New Roman"/>
                <w:sz w:val="24"/>
                <w:szCs w:val="24"/>
                <w:vertAlign w:val="baseline"/>
              </w:rPr>
            </w:pPr>
          </w:p>
        </w:tc>
        <w:tc>
          <w:tcPr>
            <w:tcW w:w="2255" w:type="dxa"/>
          </w:tcPr>
          <w:p>
            <w:pPr>
              <w:spacing w:beforeAutospacing="0"/>
              <w:rPr>
                <w:rFonts w:hint="default" w:ascii="Times New Roman" w:hAnsi="Times New Roman" w:cs="Times New Roman"/>
                <w:sz w:val="24"/>
                <w:szCs w:val="24"/>
                <w:vertAlign w:val="baseline"/>
              </w:rPr>
            </w:pPr>
            <w:r>
              <w:rPr>
                <w:rFonts w:hint="eastAsia" w:ascii="宋体" w:hAnsi="宋体" w:eastAsia="宋体" w:cs="宋体"/>
                <w:b w:val="0"/>
                <w:i w:val="0"/>
                <w:caps w:val="0"/>
                <w:color w:val="000000"/>
                <w:spacing w:val="0"/>
                <w:sz w:val="22"/>
                <w:szCs w:val="22"/>
                <w:shd w:val="clear" w:fill="FDFEFF"/>
              </w:rPr>
              <w:t>长沙远大住宅工业集团股份有限公司</w:t>
            </w:r>
            <w:r>
              <w:rPr>
                <w:rFonts w:hint="eastAsia" w:ascii="宋体" w:hAnsi="宋体" w:eastAsia="宋体" w:cs="宋体"/>
                <w:b w:val="0"/>
                <w:i w:val="0"/>
                <w:caps w:val="0"/>
                <w:color w:val="000000"/>
                <w:spacing w:val="0"/>
                <w:sz w:val="22"/>
                <w:szCs w:val="22"/>
                <w:shd w:val="clear" w:fill="FDFEFF"/>
                <w:lang w:eastAsia="zh-CN"/>
              </w:rPr>
              <w:t>、</w:t>
            </w:r>
            <w:r>
              <w:rPr>
                <w:rFonts w:hint="eastAsia" w:ascii="宋体" w:hAnsi="宋体" w:eastAsia="宋体" w:cs="宋体"/>
                <w:b w:val="0"/>
                <w:i w:val="0"/>
                <w:caps w:val="0"/>
                <w:color w:val="000000"/>
                <w:spacing w:val="0"/>
                <w:sz w:val="22"/>
                <w:szCs w:val="22"/>
                <w:shd w:val="clear" w:fill="FDFEFF"/>
              </w:rPr>
              <w:t>四川三谷建筑科技有限公司</w:t>
            </w:r>
            <w:r>
              <w:rPr>
                <w:rFonts w:hint="eastAsia" w:ascii="宋体" w:hAnsi="宋体" w:eastAsia="宋体" w:cs="宋体"/>
                <w:b w:val="0"/>
                <w:i w:val="0"/>
                <w:caps w:val="0"/>
                <w:color w:val="000000"/>
                <w:spacing w:val="0"/>
                <w:sz w:val="22"/>
                <w:szCs w:val="22"/>
                <w:shd w:val="clear" w:fill="FDFEFF"/>
                <w:lang w:eastAsia="zh-CN"/>
              </w:rPr>
              <w:t>、</w:t>
            </w:r>
            <w:r>
              <w:rPr>
                <w:rFonts w:hint="eastAsia" w:ascii="宋体" w:hAnsi="宋体" w:eastAsia="宋体" w:cs="宋体"/>
                <w:b w:val="0"/>
                <w:i w:val="0"/>
                <w:caps w:val="0"/>
                <w:color w:val="000000"/>
                <w:spacing w:val="0"/>
                <w:sz w:val="22"/>
                <w:szCs w:val="22"/>
                <w:shd w:val="clear" w:fill="FDFEFF"/>
              </w:rPr>
              <w:t>内江建工集团</w:t>
            </w:r>
            <w:r>
              <w:rPr>
                <w:rFonts w:hint="eastAsia" w:ascii="宋体" w:hAnsi="宋体" w:eastAsia="宋体" w:cs="宋体"/>
                <w:b w:val="0"/>
                <w:i w:val="0"/>
                <w:caps w:val="0"/>
                <w:color w:val="000000"/>
                <w:spacing w:val="0"/>
                <w:sz w:val="22"/>
                <w:szCs w:val="22"/>
                <w:shd w:val="clear" w:fill="FDFEFF"/>
                <w:lang w:eastAsia="zh-CN"/>
              </w:rPr>
              <w:t>、</w:t>
            </w:r>
            <w:r>
              <w:rPr>
                <w:rFonts w:hint="eastAsia" w:ascii="宋体" w:hAnsi="宋体" w:eastAsia="宋体" w:cs="宋体"/>
                <w:b w:val="0"/>
                <w:i w:val="0"/>
                <w:caps w:val="0"/>
                <w:color w:val="000000"/>
                <w:spacing w:val="0"/>
                <w:sz w:val="22"/>
                <w:szCs w:val="22"/>
                <w:shd w:val="clear" w:fill="FDFEFF"/>
              </w:rPr>
              <w:t>内江投资控股集团合资建设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4"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eastAsia="zh-CN"/>
              </w:rPr>
              <w:t>交投集团简阳工厂</w:t>
            </w:r>
          </w:p>
        </w:tc>
        <w:tc>
          <w:tcPr>
            <w:tcW w:w="884"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val="en-US" w:eastAsia="zh-CN"/>
              </w:rPr>
              <w:t>3</w:t>
            </w:r>
            <w:r>
              <w:rPr>
                <w:rFonts w:hint="eastAsia" w:ascii="Times New Roman" w:hAnsi="Times New Roman" w:cs="Times New Roman"/>
                <w:sz w:val="24"/>
                <w:szCs w:val="24"/>
                <w:vertAlign w:val="baseline"/>
                <w:lang w:val="en-US" w:eastAsia="zh-CN"/>
              </w:rPr>
              <w:t>3</w:t>
            </w:r>
            <w:r>
              <w:rPr>
                <w:rFonts w:hint="default" w:ascii="Times New Roman" w:hAnsi="Times New Roman" w:cs="Times New Roman"/>
                <w:sz w:val="24"/>
                <w:szCs w:val="24"/>
                <w:vertAlign w:val="baseline"/>
                <w:lang w:val="en-US" w:eastAsia="zh-CN"/>
              </w:rPr>
              <w:t>0亩</w:t>
            </w:r>
          </w:p>
        </w:tc>
        <w:tc>
          <w:tcPr>
            <w:tcW w:w="1420" w:type="dxa"/>
            <w:vAlign w:val="top"/>
          </w:tcPr>
          <w:p>
            <w:pPr>
              <w:jc w:val="center"/>
              <w:rPr>
                <w:rFonts w:hint="default" w:ascii="Times New Roman" w:hAnsi="Times New Roman" w:cs="Times New Roman"/>
                <w:sz w:val="24"/>
                <w:szCs w:val="24"/>
                <w:vertAlign w:val="baseline"/>
              </w:rPr>
            </w:pPr>
          </w:p>
        </w:tc>
        <w:tc>
          <w:tcPr>
            <w:tcW w:w="1421" w:type="dxa"/>
            <w:vAlign w:val="top"/>
          </w:tcPr>
          <w:p>
            <w:pPr>
              <w:spacing w:beforeAutospacing="0"/>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eastAsia="zh-CN"/>
              </w:rPr>
              <w:t>在建</w:t>
            </w:r>
          </w:p>
        </w:tc>
        <w:tc>
          <w:tcPr>
            <w:tcW w:w="1421" w:type="dxa"/>
            <w:vAlign w:val="top"/>
          </w:tcPr>
          <w:p>
            <w:pPr>
              <w:spacing w:beforeAutospacing="0"/>
              <w:rPr>
                <w:rFonts w:hint="default" w:ascii="Times New Roman" w:hAnsi="Times New Roman" w:cs="Times New Roman"/>
                <w:sz w:val="24"/>
                <w:szCs w:val="24"/>
                <w:vertAlign w:val="baseline"/>
              </w:rPr>
            </w:pPr>
            <w:r>
              <w:rPr>
                <w:rFonts w:hint="eastAsia" w:ascii="Times New Roman" w:hAnsi="Times New Roman" w:cs="Times New Roman"/>
                <w:sz w:val="24"/>
                <w:szCs w:val="24"/>
                <w:vertAlign w:val="baseline"/>
                <w:lang w:val="zh-CN"/>
              </w:rPr>
              <w:t>简阳市经济技术开发区</w:t>
            </w:r>
          </w:p>
        </w:tc>
        <w:tc>
          <w:tcPr>
            <w:tcW w:w="2255" w:type="dxa"/>
          </w:tcPr>
          <w:p>
            <w:pPr>
              <w:spacing w:beforeAutospacing="0"/>
              <w:rPr>
                <w:rFonts w:hint="default" w:ascii="Times New Roman" w:hAnsi="Times New Roman" w:cs="Times New Roman"/>
                <w:sz w:val="24"/>
                <w:szCs w:val="24"/>
                <w:vertAlign w:val="baseline"/>
              </w:rPr>
            </w:pPr>
            <w:r>
              <w:rPr>
                <w:rFonts w:hint="eastAsia" w:ascii="Times New Roman" w:hAnsi="Times New Roman" w:cs="Times New Roman"/>
                <w:sz w:val="24"/>
                <w:szCs w:val="24"/>
                <w:vertAlign w:val="baseline"/>
                <w:lang w:val="zh-CN"/>
              </w:rPr>
              <w:t>成都交通投资集团有限公司</w:t>
            </w:r>
            <w:r>
              <w:rPr>
                <w:rFonts w:hint="eastAsia" w:ascii="Times New Roman" w:hAnsi="Times New Roman" w:cs="Times New Roman"/>
                <w:sz w:val="24"/>
                <w:szCs w:val="24"/>
                <w:vertAlign w:val="baseline"/>
                <w:lang w:val="zh-CN" w:eastAsia="zh-CN"/>
              </w:rPr>
              <w:t>、</w:t>
            </w:r>
            <w:r>
              <w:rPr>
                <w:rFonts w:hint="eastAsia" w:ascii="Times New Roman" w:hAnsi="Times New Roman" w:cs="Times New Roman"/>
                <w:sz w:val="24"/>
                <w:szCs w:val="24"/>
                <w:vertAlign w:val="baseline"/>
                <w:lang w:val="zh-CN"/>
              </w:rPr>
              <w:t>上海城建预制构件有限公司、上海市城市建设设计研究总院（集团）有限公司、成都建工路桥建设有限公司、中国水利水电第七工程局有限公司合资成立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4"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eastAsia="zh-CN"/>
              </w:rPr>
              <w:t>城投城建科技有限公司</w:t>
            </w:r>
          </w:p>
        </w:tc>
        <w:tc>
          <w:tcPr>
            <w:tcW w:w="884"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val="en-US" w:eastAsia="zh-CN"/>
              </w:rPr>
              <w:t>364亩</w:t>
            </w:r>
          </w:p>
        </w:tc>
        <w:tc>
          <w:tcPr>
            <w:tcW w:w="1420"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eastAsia="zh-CN"/>
              </w:rPr>
              <w:t>设计产能</w:t>
            </w:r>
            <w:r>
              <w:rPr>
                <w:rFonts w:hint="default" w:ascii="Times New Roman" w:hAnsi="Times New Roman" w:cs="Times New Roman"/>
                <w:sz w:val="24"/>
                <w:szCs w:val="24"/>
                <w:vertAlign w:val="baseline"/>
                <w:lang w:val="en-US" w:eastAsia="zh-CN"/>
              </w:rPr>
              <w:t>3</w:t>
            </w:r>
            <w:r>
              <w:rPr>
                <w:rFonts w:hint="default" w:ascii="Times New Roman" w:hAnsi="Times New Roman" w:cs="Times New Roman"/>
                <w:sz w:val="24"/>
                <w:szCs w:val="24"/>
                <w:vertAlign w:val="baseline"/>
                <w:lang w:eastAsia="zh-CN"/>
              </w:rPr>
              <w:t>0万立方米/年</w:t>
            </w:r>
          </w:p>
        </w:tc>
        <w:tc>
          <w:tcPr>
            <w:tcW w:w="1421"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eastAsia="zh-CN"/>
              </w:rPr>
              <w:t>已建成</w:t>
            </w:r>
          </w:p>
        </w:tc>
        <w:tc>
          <w:tcPr>
            <w:tcW w:w="1421"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eastAsia="zh-CN"/>
              </w:rPr>
              <w:t>四川省成都市新都区工业东区龙虎大道</w:t>
            </w:r>
          </w:p>
        </w:tc>
        <w:tc>
          <w:tcPr>
            <w:tcW w:w="2255" w:type="dxa"/>
          </w:tcPr>
          <w:p>
            <w:pPr>
              <w:spacing w:beforeAutospacing="0"/>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成都城建投资管理集团有限责任公司牵头，联合中交第二航务工程局有限公司、中铁二十三局集团有限公司、成都市市政工程设计研究院、中国市政工程西南设计研究总院有限公司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4"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eastAsia="zh-CN"/>
              </w:rPr>
              <w:t>泸州市兴泸远大建筑科技有限公司</w:t>
            </w:r>
          </w:p>
        </w:tc>
        <w:tc>
          <w:tcPr>
            <w:tcW w:w="884"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val="en-US" w:eastAsia="zh-CN"/>
              </w:rPr>
              <w:t>115亩</w:t>
            </w:r>
          </w:p>
        </w:tc>
        <w:tc>
          <w:tcPr>
            <w:tcW w:w="1420" w:type="dxa"/>
            <w:vAlign w:val="top"/>
          </w:tcPr>
          <w:p>
            <w:pPr>
              <w:jc w:val="center"/>
              <w:rPr>
                <w:rFonts w:hint="default" w:ascii="Times New Roman" w:hAnsi="Times New Roman" w:cs="Times New Roman"/>
                <w:sz w:val="24"/>
                <w:szCs w:val="24"/>
                <w:vertAlign w:val="baseline"/>
              </w:rPr>
            </w:pPr>
          </w:p>
        </w:tc>
        <w:tc>
          <w:tcPr>
            <w:tcW w:w="1421"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eastAsia="zh-CN"/>
              </w:rPr>
              <w:t>已建成</w:t>
            </w:r>
          </w:p>
        </w:tc>
        <w:tc>
          <w:tcPr>
            <w:tcW w:w="1421"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eastAsia="zh-CN"/>
              </w:rPr>
              <w:t>泸州市纳溪区云溪东路二段223号</w:t>
            </w:r>
          </w:p>
        </w:tc>
        <w:tc>
          <w:tcPr>
            <w:tcW w:w="2255" w:type="dxa"/>
          </w:tcPr>
          <w:p>
            <w:pPr>
              <w:spacing w:beforeAutospacing="0"/>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由泸州市兴泸投资集团有限公司绝对控股，与泸州纳川园区投资有限公司、长沙远大住宅工业集团股份有限公司合资成立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4" w:type="dxa"/>
            <w:vAlign w:val="top"/>
          </w:tcPr>
          <w:p>
            <w:pPr>
              <w:jc w:val="center"/>
              <w:rPr>
                <w:rFonts w:hint="default" w:ascii="Times New Roman" w:hAnsi="Times New Roman" w:cs="Times New Roman"/>
                <w:sz w:val="24"/>
                <w:szCs w:val="24"/>
                <w:vertAlign w:val="baseline"/>
              </w:rPr>
            </w:pPr>
            <w:r>
              <w:rPr>
                <w:rFonts w:hint="eastAsia" w:ascii="Times New Roman" w:hAnsi="Times New Roman" w:cs="Times New Roman"/>
                <w:sz w:val="24"/>
                <w:szCs w:val="24"/>
                <w:vertAlign w:val="baseline"/>
                <w:lang w:eastAsia="zh-CN"/>
              </w:rPr>
              <w:t>科发</w:t>
            </w:r>
            <w:r>
              <w:rPr>
                <w:rFonts w:hint="default" w:ascii="Times New Roman" w:hAnsi="Times New Roman" w:cs="Times New Roman"/>
                <w:sz w:val="24"/>
                <w:szCs w:val="24"/>
                <w:vertAlign w:val="baseline"/>
                <w:lang w:eastAsia="zh-CN"/>
              </w:rPr>
              <w:t>远大绵阳工厂</w:t>
            </w:r>
          </w:p>
        </w:tc>
        <w:tc>
          <w:tcPr>
            <w:tcW w:w="884" w:type="dxa"/>
            <w:vAlign w:val="top"/>
          </w:tcPr>
          <w:p>
            <w:pPr>
              <w:jc w:val="center"/>
              <w:rPr>
                <w:rFonts w:hint="default" w:ascii="Times New Roman" w:hAnsi="Times New Roman" w:cs="Times New Roman"/>
                <w:sz w:val="24"/>
                <w:szCs w:val="24"/>
                <w:vertAlign w:val="baseline"/>
              </w:rPr>
            </w:pPr>
          </w:p>
        </w:tc>
        <w:tc>
          <w:tcPr>
            <w:tcW w:w="1420" w:type="dxa"/>
            <w:vAlign w:val="top"/>
          </w:tcPr>
          <w:p>
            <w:pPr>
              <w:jc w:val="center"/>
              <w:rPr>
                <w:rFonts w:hint="default" w:ascii="Times New Roman" w:hAnsi="Times New Roman" w:cs="Times New Roman"/>
                <w:sz w:val="24"/>
                <w:szCs w:val="24"/>
                <w:vertAlign w:val="baseline"/>
              </w:rPr>
            </w:pPr>
          </w:p>
        </w:tc>
        <w:tc>
          <w:tcPr>
            <w:tcW w:w="1421" w:type="dxa"/>
            <w:vAlign w:val="top"/>
          </w:tcPr>
          <w:p>
            <w:pPr>
              <w:jc w:val="center"/>
              <w:rPr>
                <w:rFonts w:hint="default" w:ascii="Times New Roman" w:hAnsi="Times New Roman" w:cs="Times New Roman"/>
                <w:sz w:val="24"/>
                <w:szCs w:val="24"/>
                <w:vertAlign w:val="baseline"/>
              </w:rPr>
            </w:pPr>
          </w:p>
        </w:tc>
        <w:tc>
          <w:tcPr>
            <w:tcW w:w="1421" w:type="dxa"/>
            <w:vAlign w:val="top"/>
          </w:tcPr>
          <w:p>
            <w:pPr>
              <w:jc w:val="center"/>
              <w:rPr>
                <w:rFonts w:hint="default" w:ascii="Times New Roman" w:hAnsi="Times New Roman" w:cs="Times New Roman"/>
                <w:sz w:val="24"/>
                <w:szCs w:val="24"/>
                <w:vertAlign w:val="baseline"/>
              </w:rPr>
            </w:pPr>
          </w:p>
        </w:tc>
        <w:tc>
          <w:tcPr>
            <w:tcW w:w="2255" w:type="dxa"/>
          </w:tcPr>
          <w:p>
            <w:pPr>
              <w:spacing w:beforeAutospacing="0"/>
              <w:rPr>
                <w:rFonts w:hint="eastAsia" w:ascii="Times New Roman" w:hAnsi="Times New Roman" w:cs="Times New Roman" w:eastAsiaTheme="minorEastAsia"/>
                <w:sz w:val="24"/>
                <w:szCs w:val="24"/>
                <w:vertAlign w:val="baseline"/>
                <w:lang w:eastAsia="zh-CN"/>
              </w:rPr>
            </w:pPr>
            <w:r>
              <w:rPr>
                <w:rFonts w:hint="eastAsia" w:ascii="Times New Roman" w:hAnsi="Times New Roman" w:cs="Times New Roman"/>
                <w:sz w:val="24"/>
                <w:szCs w:val="24"/>
                <w:vertAlign w:val="baseline"/>
                <w:lang w:eastAsia="zh-CN"/>
              </w:rPr>
              <w:t>科发集团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4"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eastAsia="zh-CN"/>
              </w:rPr>
              <w:t>四川建安装配式工程科技股份有限公司</w:t>
            </w:r>
          </w:p>
        </w:tc>
        <w:tc>
          <w:tcPr>
            <w:tcW w:w="884" w:type="dxa"/>
            <w:vAlign w:val="top"/>
          </w:tcPr>
          <w:p>
            <w:pPr>
              <w:jc w:val="center"/>
              <w:rPr>
                <w:rFonts w:hint="default" w:ascii="Times New Roman" w:hAnsi="Times New Roman" w:cs="Times New Roman"/>
                <w:sz w:val="24"/>
                <w:szCs w:val="24"/>
                <w:vertAlign w:val="baseline"/>
              </w:rPr>
            </w:pPr>
          </w:p>
        </w:tc>
        <w:tc>
          <w:tcPr>
            <w:tcW w:w="1420" w:type="dxa"/>
            <w:vAlign w:val="top"/>
          </w:tcPr>
          <w:p>
            <w:pPr>
              <w:jc w:val="center"/>
              <w:rPr>
                <w:rFonts w:hint="default" w:ascii="Times New Roman" w:hAnsi="Times New Roman" w:cs="Times New Roman"/>
                <w:sz w:val="24"/>
                <w:szCs w:val="24"/>
                <w:vertAlign w:val="baseline"/>
              </w:rPr>
            </w:pPr>
          </w:p>
        </w:tc>
        <w:tc>
          <w:tcPr>
            <w:tcW w:w="1421"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eastAsia="zh-CN"/>
              </w:rPr>
              <w:t>筹建</w:t>
            </w:r>
          </w:p>
        </w:tc>
        <w:tc>
          <w:tcPr>
            <w:tcW w:w="1421"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eastAsia="zh-CN"/>
              </w:rPr>
              <w:t>成都市大邑县沙渠镇欣业大道318号</w:t>
            </w:r>
          </w:p>
        </w:tc>
        <w:tc>
          <w:tcPr>
            <w:tcW w:w="2255" w:type="dxa"/>
          </w:tcPr>
          <w:p>
            <w:pPr>
              <w:spacing w:beforeAutospacing="0"/>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多家全资及控股企业，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4" w:type="dxa"/>
            <w:vAlign w:val="top"/>
          </w:tcPr>
          <w:p>
            <w:pPr>
              <w:jc w:val="center"/>
              <w:rPr>
                <w:rFonts w:hint="default" w:ascii="Times New Roman" w:hAnsi="Times New Roman" w:cs="Times New Roman"/>
                <w:sz w:val="24"/>
                <w:szCs w:val="24"/>
                <w:vertAlign w:val="baseline"/>
                <w:lang w:eastAsia="zh-CN"/>
              </w:rPr>
            </w:pPr>
            <w:r>
              <w:rPr>
                <w:rFonts w:hint="default" w:ascii="Times New Roman" w:hAnsi="Times New Roman" w:cs="Times New Roman"/>
                <w:sz w:val="24"/>
                <w:szCs w:val="24"/>
                <w:vertAlign w:val="baseline"/>
                <w:lang w:eastAsia="zh-CN"/>
              </w:rPr>
              <w:t>中电建成都建筑工业化有限责任公司</w:t>
            </w:r>
          </w:p>
        </w:tc>
        <w:tc>
          <w:tcPr>
            <w:tcW w:w="884" w:type="dxa"/>
            <w:vAlign w:val="top"/>
          </w:tcPr>
          <w:p>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458亩</w:t>
            </w:r>
          </w:p>
        </w:tc>
        <w:tc>
          <w:tcPr>
            <w:tcW w:w="1420" w:type="dxa"/>
            <w:vAlign w:val="top"/>
          </w:tcPr>
          <w:p>
            <w:pPr>
              <w:jc w:val="center"/>
              <w:rPr>
                <w:rFonts w:hint="default" w:ascii="Times New Roman" w:hAnsi="Times New Roman" w:cs="Times New Roman"/>
                <w:sz w:val="24"/>
                <w:szCs w:val="24"/>
                <w:vertAlign w:val="baseline"/>
              </w:rPr>
            </w:pPr>
          </w:p>
        </w:tc>
        <w:tc>
          <w:tcPr>
            <w:tcW w:w="1421" w:type="dxa"/>
            <w:vAlign w:val="top"/>
          </w:tcPr>
          <w:p>
            <w:pPr>
              <w:jc w:val="center"/>
              <w:rPr>
                <w:rFonts w:hint="default" w:ascii="Times New Roman" w:hAnsi="Times New Roman" w:cs="Times New Roman"/>
                <w:sz w:val="24"/>
                <w:szCs w:val="24"/>
                <w:vertAlign w:val="baseline"/>
                <w:lang w:eastAsia="zh-CN"/>
              </w:rPr>
            </w:pPr>
            <w:r>
              <w:rPr>
                <w:rFonts w:hint="default" w:ascii="Times New Roman" w:hAnsi="Times New Roman" w:cs="Times New Roman"/>
                <w:sz w:val="24"/>
                <w:szCs w:val="24"/>
                <w:vertAlign w:val="baseline"/>
                <w:lang w:eastAsia="zh-CN"/>
              </w:rPr>
              <w:t>已建成</w:t>
            </w:r>
          </w:p>
        </w:tc>
        <w:tc>
          <w:tcPr>
            <w:tcW w:w="1421" w:type="dxa"/>
            <w:vAlign w:val="top"/>
          </w:tcPr>
          <w:p>
            <w:pPr>
              <w:jc w:val="center"/>
              <w:rPr>
                <w:rFonts w:hint="default" w:ascii="Times New Roman" w:hAnsi="Times New Roman" w:cs="Times New Roman"/>
                <w:sz w:val="24"/>
                <w:szCs w:val="24"/>
                <w:vertAlign w:val="baseline"/>
                <w:lang w:eastAsia="zh-CN"/>
              </w:rPr>
            </w:pPr>
            <w:r>
              <w:rPr>
                <w:rFonts w:hint="default" w:ascii="Times New Roman" w:hAnsi="Times New Roman" w:cs="Times New Roman"/>
                <w:sz w:val="24"/>
                <w:szCs w:val="24"/>
                <w:vertAlign w:val="baseline"/>
                <w:lang w:eastAsia="zh-CN"/>
              </w:rPr>
              <w:t>四川省成都市金堂工业园区</w:t>
            </w:r>
          </w:p>
        </w:tc>
        <w:tc>
          <w:tcPr>
            <w:tcW w:w="2255" w:type="dxa"/>
          </w:tcPr>
          <w:p>
            <w:pPr>
              <w:spacing w:beforeAutospacing="0"/>
              <w:rPr>
                <w:rFonts w:hint="default" w:ascii="Times New Roman" w:hAnsi="Times New Roman" w:cs="Times New Roman"/>
                <w:sz w:val="24"/>
                <w:szCs w:val="24"/>
                <w:vertAlign w:val="baseline"/>
              </w:rPr>
            </w:pPr>
            <w:r>
              <w:rPr>
                <w:rFonts w:hint="eastAsia" w:ascii="宋体" w:hAnsi="宋体" w:eastAsia="宋体" w:cs="宋体"/>
                <w:b w:val="0"/>
                <w:i w:val="0"/>
                <w:caps w:val="0"/>
                <w:color w:val="3B3B3B"/>
                <w:spacing w:val="0"/>
                <w:sz w:val="21"/>
                <w:szCs w:val="21"/>
                <w:shd w:val="clear" w:fill="FFFFFF"/>
              </w:rPr>
              <w:t>中国水利水电第七工程局有限公司、中国电建集团成都勘测设计研究院有限公司、金堂县兴金开发建设投资有限责任公司、成都花园水城城乡建设投资有限责任公司、四川花园水城城乡产业发展投资开发有限责任公司联合成立的合资公司</w:t>
            </w:r>
          </w:p>
        </w:tc>
      </w:tr>
    </w:tbl>
    <w:p>
      <w:pPr>
        <w:jc w:val="right"/>
        <w:rPr>
          <w:rFonts w:hint="eastAsia"/>
          <w:sz w:val="28"/>
          <w:szCs w:val="28"/>
          <w:lang w:eastAsia="zh-CN"/>
        </w:rPr>
      </w:pPr>
      <w:r>
        <w:rPr>
          <w:rFonts w:hint="eastAsia"/>
          <w:sz w:val="28"/>
          <w:szCs w:val="28"/>
          <w:lang w:eastAsia="zh-CN"/>
        </w:rPr>
        <w:t>（</w:t>
      </w:r>
      <w:r>
        <w:rPr>
          <w:rFonts w:hint="eastAsia"/>
          <w:sz w:val="28"/>
          <w:szCs w:val="28"/>
          <w:lang w:val="en-US" w:eastAsia="zh-CN"/>
        </w:rPr>
        <w:t>附表</w:t>
      </w:r>
      <w:r>
        <w:rPr>
          <w:rFonts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据不完全统计，四川省内已投产预制混凝土构件生产企业</w:t>
      </w:r>
      <w:r>
        <w:rPr>
          <w:rFonts w:hint="default" w:ascii="Times New Roman" w:hAnsi="Times New Roman" w:cs="Times New Roman"/>
          <w:sz w:val="28"/>
          <w:szCs w:val="28"/>
          <w:lang w:val="en-US" w:eastAsia="zh-CN"/>
        </w:rPr>
        <w:t>12家，厂区分布在</w:t>
      </w:r>
      <w:r>
        <w:rPr>
          <w:rFonts w:hint="default" w:ascii="Times New Roman" w:hAnsi="Times New Roman" w:cs="Times New Roman"/>
          <w:sz w:val="28"/>
          <w:szCs w:val="28"/>
          <w:highlight w:val="yellow"/>
          <w:lang w:val="en-US" w:eastAsia="zh-CN"/>
        </w:rPr>
        <w:t>成都、乐山、德阳、泸州</w:t>
      </w:r>
      <w:r>
        <w:rPr>
          <w:rFonts w:hint="default" w:ascii="Times New Roman" w:hAnsi="Times New Roman" w:cs="Times New Roman"/>
          <w:sz w:val="28"/>
          <w:szCs w:val="28"/>
          <w:lang w:val="en-US" w:eastAsia="zh-CN"/>
        </w:rPr>
        <w:t>等地，其中坐落于成都的大型PC构件生产企业就多达4家，分别是</w:t>
      </w:r>
      <w:r>
        <w:rPr>
          <w:rFonts w:hint="default" w:ascii="Times New Roman" w:hAnsi="Times New Roman" w:cs="Times New Roman"/>
          <w:sz w:val="28"/>
          <w:szCs w:val="28"/>
          <w:highlight w:val="yellow"/>
          <w:lang w:val="en-US" w:eastAsia="zh-CN"/>
        </w:rPr>
        <w:t>成都建工工业化建筑有限公司</w:t>
      </w:r>
      <w:r>
        <w:rPr>
          <w:rFonts w:hint="default" w:ascii="Times New Roman" w:hAnsi="Times New Roman" w:cs="Times New Roman"/>
          <w:sz w:val="28"/>
          <w:szCs w:val="28"/>
          <w:lang w:val="en-US" w:eastAsia="zh-CN"/>
        </w:rPr>
        <w:t>（占地270亩）、</w:t>
      </w:r>
      <w:r>
        <w:rPr>
          <w:rFonts w:hint="default" w:ascii="Times New Roman" w:hAnsi="Times New Roman" w:cs="Times New Roman"/>
          <w:sz w:val="28"/>
          <w:szCs w:val="28"/>
          <w:highlight w:val="yellow"/>
          <w:lang w:val="en-US" w:eastAsia="zh-CN"/>
        </w:rPr>
        <w:t>成都城投远大建筑科技有限公司</w:t>
      </w:r>
      <w:r>
        <w:rPr>
          <w:rFonts w:hint="default" w:ascii="Times New Roman" w:hAnsi="Times New Roman" w:cs="Times New Roman"/>
          <w:sz w:val="28"/>
          <w:szCs w:val="28"/>
          <w:highlight w:val="none"/>
          <w:lang w:val="en-US" w:eastAsia="zh-CN"/>
        </w:rPr>
        <w:t>（占地240亩）</w:t>
      </w:r>
      <w:r>
        <w:rPr>
          <w:rFonts w:hint="default" w:ascii="Times New Roman" w:hAnsi="Times New Roman" w:cs="Times New Roman"/>
          <w:sz w:val="28"/>
          <w:szCs w:val="28"/>
          <w:lang w:val="en-US" w:eastAsia="zh-CN"/>
        </w:rPr>
        <w:t>、</w:t>
      </w:r>
      <w:r>
        <w:rPr>
          <w:rFonts w:hint="default" w:ascii="Times New Roman" w:hAnsi="Times New Roman" w:cs="Times New Roman"/>
          <w:sz w:val="28"/>
          <w:szCs w:val="28"/>
          <w:highlight w:val="yellow"/>
          <w:lang w:val="en-US" w:eastAsia="zh-CN"/>
        </w:rPr>
        <w:t>中建科技成都有限公司</w:t>
      </w:r>
      <w:r>
        <w:rPr>
          <w:rFonts w:hint="default" w:ascii="Times New Roman" w:hAnsi="Times New Roman" w:cs="Times New Roman"/>
          <w:sz w:val="28"/>
          <w:szCs w:val="28"/>
          <w:highlight w:val="none"/>
          <w:lang w:val="en-US" w:eastAsia="zh-CN"/>
        </w:rPr>
        <w:t>（占地230亩）</w:t>
      </w:r>
      <w:r>
        <w:rPr>
          <w:rFonts w:hint="default" w:ascii="Times New Roman" w:hAnsi="Times New Roman" w:cs="Times New Roman"/>
          <w:sz w:val="28"/>
          <w:szCs w:val="28"/>
          <w:lang w:val="en-US" w:eastAsia="zh-CN"/>
        </w:rPr>
        <w:t>、</w:t>
      </w:r>
      <w:r>
        <w:rPr>
          <w:rFonts w:hint="default" w:ascii="Times New Roman" w:hAnsi="Times New Roman" w:cs="Times New Roman"/>
          <w:sz w:val="28"/>
          <w:szCs w:val="28"/>
          <w:highlight w:val="yellow"/>
          <w:lang w:val="en-US" w:eastAsia="zh-CN"/>
        </w:rPr>
        <w:t>成都城投城建科技有限公司</w:t>
      </w:r>
      <w:r>
        <w:rPr>
          <w:rFonts w:hint="default" w:ascii="Times New Roman" w:hAnsi="Times New Roman" w:cs="Times New Roman"/>
          <w:sz w:val="28"/>
          <w:szCs w:val="28"/>
          <w:lang w:val="en-US" w:eastAsia="zh-CN"/>
        </w:rPr>
        <w:t>（占地364亩），其他地区的大型PC构件生产企业包括四川</w:t>
      </w:r>
      <w:r>
        <w:rPr>
          <w:rFonts w:hint="default" w:ascii="Times New Roman" w:hAnsi="Times New Roman" w:cs="Times New Roman"/>
          <w:sz w:val="28"/>
          <w:szCs w:val="28"/>
          <w:highlight w:val="yellow"/>
          <w:lang w:val="en-US" w:eastAsia="zh-CN"/>
        </w:rPr>
        <w:t>华构住宅工业有限公司</w:t>
      </w:r>
      <w:r>
        <w:rPr>
          <w:rFonts w:hint="default" w:ascii="Times New Roman" w:hAnsi="Times New Roman" w:cs="Times New Roman"/>
          <w:sz w:val="28"/>
          <w:szCs w:val="28"/>
          <w:lang w:val="en-US" w:eastAsia="zh-CN"/>
        </w:rPr>
        <w:t>（乐山），</w:t>
      </w:r>
      <w:r>
        <w:rPr>
          <w:rFonts w:hint="default" w:ascii="Times New Roman" w:hAnsi="Times New Roman" w:cs="Times New Roman"/>
          <w:sz w:val="28"/>
          <w:szCs w:val="28"/>
          <w:highlight w:val="yellow"/>
          <w:lang w:val="en-US" w:eastAsia="zh-CN"/>
        </w:rPr>
        <w:t>四川华西绿舍预制构件有限公司</w:t>
      </w:r>
      <w:r>
        <w:rPr>
          <w:rFonts w:hint="default" w:ascii="Times New Roman" w:hAnsi="Times New Roman" w:cs="Times New Roman"/>
          <w:sz w:val="28"/>
          <w:szCs w:val="28"/>
          <w:lang w:val="en-US" w:eastAsia="zh-CN"/>
        </w:rPr>
        <w:t>（德阳），现阶段仅以上6家大型PC构件生产企业的年设计生产总值就高达170万立方米/年，于此同时，四川省内在建及筹建的PC构件生产企业不下20家，其中值得注意的是城投集团投资建设的城投空港新城工厂以及城投简阳养马河工厂其占地面积分别为200亩以及600亩，交投集团的简阳工厂占地达到300亩，由此可见PC构件在简阳新机场的建设上将大行其道；不止国有投资集团在涉足装配式建筑领域，如五冶、水电七局、四川建安等工程总承包企业也在装配式建筑领域摩拳擦掌，五冶联合长沙远大住工、四川发达伟业、四川三谷建筑集团等企业计划投资6亿元人民币在绵阳三台县成立绵阳科发远大建筑科技有限公司，水电七局将投资6.6亿金堂也将部署PC构件工厂，建成后年设计产能20万立方米/年；据了解万科、美好集团等民营企业也将计划在川内建设工厂。</w:t>
      </w:r>
    </w:p>
    <w:p>
      <w:pPr>
        <w:spacing w:beforeAutospacing="0"/>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Helvetica Neue">
    <w:altName w:val="Corbel"/>
    <w:panose1 w:val="02000503000000020004"/>
    <w:charset w:val="00"/>
    <w:family w:val="auto"/>
    <w:pitch w:val="default"/>
    <w:sig w:usb0="00000000" w:usb1="00000000" w:usb2="00000010" w:usb3="00000000" w:csb0="00000001" w:csb1="00000000"/>
  </w:font>
  <w:font w:name="等线">
    <w:altName w:val="宋体"/>
    <w:panose1 w:val="02010600030101010101"/>
    <w:charset w:val="86"/>
    <w:family w:val="auto"/>
    <w:pitch w:val="default"/>
    <w:sig w:usb0="00000000" w:usb1="00000000" w:usb2="00000016" w:usb3="00000000" w:csb0="0004000F" w:csb1="00000000"/>
  </w:font>
  <w:font w:name="Corbel">
    <w:panose1 w:val="020B0503020204020204"/>
    <w:charset w:val="00"/>
    <w:family w:val="auto"/>
    <w:pitch w:val="default"/>
    <w:sig w:usb0="A00002EF" w:usb1="4000A44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731986"/>
    <w:rsid w:val="01260EE9"/>
    <w:rsid w:val="09E84668"/>
    <w:rsid w:val="1E842709"/>
    <w:rsid w:val="29385DF5"/>
    <w:rsid w:val="2C8F2EA8"/>
    <w:rsid w:val="42450255"/>
    <w:rsid w:val="47731986"/>
    <w:rsid w:val="4BB1785B"/>
    <w:rsid w:val="4FA863DB"/>
    <w:rsid w:val="547D4B50"/>
    <w:rsid w:val="558E6A1E"/>
    <w:rsid w:val="55F47FF9"/>
    <w:rsid w:val="5CDB2F4A"/>
    <w:rsid w:val="6B2F434E"/>
    <w:rsid w:val="6D535020"/>
    <w:rsid w:val="743A66B4"/>
    <w:rsid w:val="755042A8"/>
    <w:rsid w:val="767D4C75"/>
    <w:rsid w:val="779476F6"/>
    <w:rsid w:val="77C56A42"/>
    <w:rsid w:val="7C970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2018-05-17T05:55:00Z</dcterms:created>
  <dc:creator>zsh</dc:creator>
  <cp:lastModifiedBy>唐小胖</cp:lastModifiedBy>
  <dcterms:modified xsi:type="dcterms:W3CDTF">2018-05-24T08:56:36Z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